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2.pdf" ContentType="application/pdf"/>
  <Override PartName="/word/media/rId142.pdf" ContentType="application/pdf"/>
  <Override PartName="/word/media/rId88.pdf" ContentType="application/pdf"/>
  <Override PartName="/word/media/rId85.pdf" ContentType="application/pdf"/>
  <Override PartName="/word/media/rId53.pdf" ContentType="application/pdf"/>
  <Override PartName="/word/media/rId72.pdf" ContentType="application/pdf"/>
  <Override PartName="/word/media/rId50.pdf" ContentType="application/pdf"/>
  <Override PartName="/word/media/rId91.pdf" ContentType="application/pdf"/>
  <Override PartName="/word/media/rId97.pdf" ContentType="application/pdf"/>
  <Override PartName="/word/media/rId56.pdf" ContentType="application/pdf"/>
  <Override PartName="/word/media/rId75.pdf" ContentType="application/pdf"/>
  <Override PartName="/word/media/rId78.pdf" ContentType="application/pdf"/>
  <Override PartName="/word/media/rId94.pdf" ContentType="application/pdf"/>
  <Override PartName="/word/media/rId82.pdf" ContentType="application/pdf"/>
  <Override PartName="/word/media/rId59.pdf" ContentType="application/pdf"/>
  <Override PartName="/word/media/rId62.pdf" ContentType="application/pdf"/>
  <Override PartName="/word/media/rId69.pdf" ContentType="application/pdf"/>
  <Override PartName="/word/media/rId65.pdf" ContentType="application/pdf"/>
  <Override PartName="/word/media/rId30.jpg" ContentType="image/jpeg"/>
  <Override PartName="/word/media/rId34.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Columbia</w:t>
      </w:r>
      <w:r>
        <w:t xml:space="preserve"> </w:t>
      </w:r>
      <w:r>
        <w:t xml:space="preserve">Basin</w:t>
      </w:r>
      <w:r>
        <w:t xml:space="preserve"> </w:t>
      </w:r>
      <w:r>
        <w:t xml:space="preserve">Research</w:t>
      </w:r>
    </w:p>
    <w:p>
      <w:pPr>
        <w:pStyle w:val="Subtitle"/>
      </w:pPr>
      <w:r>
        <w:t xml:space="preserve">Progress</w:t>
      </w:r>
      <w:r>
        <w:t xml:space="preserve"> </w:t>
      </w:r>
      <w:r>
        <w:t xml:space="preserve">Report:</w:t>
      </w:r>
      <w:r>
        <w:t xml:space="preserve"> </w:t>
      </w: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09</w:t>
      </w:r>
      <w:r>
        <w:t xml:space="preserve"> </w:t>
      </w:r>
      <w:r>
        <w:t xml:space="preserve">December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movements, but have not presented a comprehensive view of the adult Steelhead migration.</w:t>
      </w:r>
    </w:p>
    <w:p>
      <w:pPr>
        <w:pStyle w:val="BodyText"/>
      </w:pPr>
    </w:p>
    <w:p>
      <w:pPr>
        <w:pStyle w:val="BodyText"/>
      </w:pPr>
      <w:r>
        <w:t xml:space="preserve">Here, we present a progress update on a new modeling framework that is capable of modeling the entire adult migration of Steelhead, including upstream movements, downstream movements, and movements into tributaries. This modeling framework translates the Columbia River Basin into a series of interconnected states, each representing a reach of the mainstem Columbia or Snake River between hydroelectric dams or a tributary that flows into them. We converted detections of over 60,000 Steelhead from each of the hundreds of PIT tag detection sites in the Columbia River Basin into a sequence of state visits for each fish, and fit a Bayesian multistate model to this data using the Stan programming language. This model also uses the network of PIT tag antennas in each tributary to correct for detection efficiency in each of these tributaries. From this model, we generate movement probabilities for fish from each of 17 different natal origins (tributaries), including probabilities of homing, fallback, and overshoot.</w:t>
      </w:r>
    </w:p>
    <w:p>
      <w:pPr>
        <w:pStyle w:val="BodyText"/>
      </w:pPr>
    </w:p>
    <w:p>
      <w:pPr>
        <w:pStyle w:val="BodyText"/>
      </w:pPr>
      <w:r>
        <w:t xml:space="preserve">With the current model configuration, we were able to generate estimates of the probability of key movements for different populations. For example, we were able to determine which populations had high overshooting rates (e.g., John Day River, Umatilla River, Entiat River, Wenatchee River, and Walla Walla River Steelhead) and that for Wenatchee River Steelhead, overshoot was particularly detrimental: Wenatchee River Steelhead that did not overshoot had a four times higher probability of making it home than did those that did.</w:t>
      </w:r>
    </w:p>
    <w:p>
      <w:pPr>
        <w:pStyle w:val="BodyText"/>
      </w:pPr>
    </w:p>
    <w:p>
      <w:pPr>
        <w:pStyle w:val="BodyText"/>
      </w:pPr>
      <w:r>
        <w:t xml:space="preserve">Work on this model is ongoing. The model’s primary strength is that it is highly flexible it can simultaneously account for and parse apart the effect of many different covariates, including flow, spill, temperature, hatchery rearing practices, and juvenile barging. In future configurations of the model, these covariates will be included to address questions such as how winter spill affects fallback, how temperature affects overshooting, and how hatchery rearing practices such as juvenile acclimation affects decisions that these fish make as adults.</w:t>
      </w:r>
    </w:p>
    <w:bookmarkEnd w:id="20"/>
    <w:bookmarkStart w:id="21"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(NMFS 2022a, 2022b, 2022c, 2022d)</w:t>
      </w:r>
      <w:r>
        <w:t xml:space="preserve">.</w:t>
      </w:r>
    </w:p>
    <w:p>
      <w:pPr>
        <w:pStyle w:val="BodyText"/>
      </w:pPr>
    </w:p>
    <w:p>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of the mainstem habitat between the 10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but can also occur once individuals have ascended mainstem dams upstream of natal tributaries (a behavior known as overshoot), in which case this fallback is called post-overshoot fallback and is necessary for individuals to return to natal tributaries. Overshoot and fallback affect the ability of individuals to successfully spawn,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overshooting rates</w:t>
      </w:r>
      <w:r>
        <w:t xml:space="preserve"> </w:t>
      </w:r>
      <w:r>
        <w:t xml:space="preserve">(Richins and Skalski 2018)</w:t>
      </w:r>
      <w:r>
        <w:t xml:space="preserve">, and many overshooting fish are observed to stray to tributaries upstream of the overshoot dam.</w:t>
      </w:r>
    </w:p>
    <w:p>
      <w:pPr>
        <w:pStyle w:val="BodyText"/>
      </w:pPr>
    </w:p>
    <w:p>
      <w:pPr>
        <w:pStyle w:val="BodyText"/>
      </w:pPr>
      <w:r>
        <w:t xml:space="preserve">The decreased migration success associated with overshoot and fallback is likely due to the hazardous nature of downstream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Mortality rates for adult Steelhead passing downstream at dams are highly variable, but recent estimates of 48-hour survival at McNary Dam indicate around 90% survival for individuals passing through turbines and 97% survival for individuals passing through the spillway</w:t>
      </w:r>
      <w:r>
        <w:t xml:space="preserve"> </w:t>
      </w:r>
      <w:r>
        <w:t xml:space="preserve">(Normandeau Associates 2014)</w:t>
      </w:r>
      <w:r>
        <w:t xml:space="preserve">. Mortality in downstream passage routes is implicated by low survival rates of Steelhead kelts, which decrease with increasing number of dams that must be navigated as they move downstream to the ocean, with mortality rates of 84-96% for kelts released at Lower Granite Dam, 38-40% at McNary Dam, and 20-37% at John Day Dam</w:t>
      </w:r>
      <w:r>
        <w:t xml:space="preserve"> </w:t>
      </w:r>
      <w:r>
        <w:t xml:space="preserve">(Wertheimer and Evans 2005)</w:t>
      </w:r>
      <w:r>
        <w:t xml:space="preserve">.</w:t>
      </w:r>
    </w:p>
    <w:p>
      <w:pPr>
        <w:pStyle w:val="BodyText"/>
      </w:pPr>
    </w:p>
    <w:p>
      <w:pPr>
        <w:pStyle w:val="BodyText"/>
      </w:pPr>
      <w:r>
        <w:t xml:space="preserve">Because of the association between overshoot and fallback and decreased migration success, previous studies have investigated the influence of various factors on these rates. Rates of overshoot have been shown to vary considerably among populations, but have a positive relationship with increasing mainstem water temperature and hatchery rearing upstream of the natal tributary</w:t>
      </w:r>
      <w:r>
        <w:t xml:space="preserve"> </w:t>
      </w:r>
      <w:r>
        <w:t xml:space="preserve">(Richins and Skalski 2018)</w:t>
      </w:r>
      <w:r>
        <w:t xml:space="preserve">. In spring-summer Chinook, fallback rates have a positive relationship with river discharge</w:t>
      </w:r>
      <w:r>
        <w:t xml:space="preserve"> </w:t>
      </w:r>
      <w:r>
        <w:t xml:space="preserve">(Boggs</w:t>
      </w:r>
      <w:r>
        <w:t xml:space="preserve"> </w:t>
      </w:r>
      <w:r>
        <w:rPr>
          <w:iCs/>
          <w:i/>
        </w:rPr>
        <w:t xml:space="preserve">et al.</w:t>
      </w:r>
      <w:r>
        <w:t xml:space="preserve"> </w:t>
      </w:r>
      <w:r>
        <w:t xml:space="preserve">2004)</w:t>
      </w:r>
      <w:r>
        <w:t xml:space="preserve">. However, these previous studies have looked at these various factors only in isolation and for specific movements. In this study, we developed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at movement probabilities at each step within the migration.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1"/>
    <w:bookmarkStart w:id="44" w:name="methods"/>
    <w:p>
      <w:pPr>
        <w:pStyle w:val="Heading1"/>
      </w:pPr>
      <w:r>
        <w:t xml:space="preserve">Methods</w:t>
      </w:r>
    </w:p>
    <w:bookmarkStart w:id="25" w:name="study-area"/>
    <w:p>
      <w:pPr>
        <w:pStyle w:val="Heading2"/>
      </w:pPr>
      <w:r>
        <w:t xml:space="preserve">Study area</w:t>
      </w:r>
    </w:p>
    <w:p>
      <w:pPr>
        <w:pStyle w:val="CaptionedFigure"/>
      </w:pPr>
      <w:r>
        <w:drawing>
          <wp:inline>
            <wp:extent cx="6858000" cy="4114800"/>
            <wp:effectExtent b="0" l="0" r="0" t="0"/>
            <wp:docPr descr="Figure 1. The study area. Dams that are used to delineate states in the model are in black, whereas those that are not are in grey. Tributaries where fish in our dataset originated are labeled." title="" id="23" name="Picture"/>
            <a:graphic>
              <a:graphicData uri="http://schemas.openxmlformats.org/drawingml/2006/picture">
                <pic:pic>
                  <pic:nvPicPr>
                    <pic:cNvPr descr=".//figures/CRB_map_pres_dams.pdf" id="24" name="Picture"/>
                    <pic:cNvPicPr>
                      <a:picLocks noChangeArrowheads="1" noChangeAspect="1"/>
                    </pic:cNvPicPr>
                  </pic:nvPicPr>
                  <pic:blipFill>
                    <a:blip r:embed="rId22"/>
                    <a:stretch>
                      <a:fillRect/>
                    </a:stretch>
                  </pic:blipFill>
                  <pic:spPr bwMode="auto">
                    <a:xfrm>
                      <a:off x="0" y="0"/>
                      <a:ext cx="6858000" cy="4114800"/>
                    </a:xfrm>
                    <a:prstGeom prst="rect">
                      <a:avLst/>
                    </a:prstGeom>
                    <a:noFill/>
                    <a:ln w="9525">
                      <a:noFill/>
                      <a:headEnd/>
                      <a:tailEnd/>
                    </a:ln>
                  </pic:spPr>
                </pic:pic>
              </a:graphicData>
            </a:graphic>
          </wp:inline>
        </w:drawing>
      </w:r>
    </w:p>
    <w:p>
      <w:pPr>
        <w:pStyle w:val="ImageCaption"/>
      </w:pPr>
      <w:r>
        <w:t xml:space="preserve">Figure 1. The study area. Dams that are used to delineate states in the model are in black, whereas those that are not are in grey. Tributaries where fish in our dataset originated are labeled.</w:t>
      </w:r>
    </w:p>
    <w:bookmarkEnd w:id="25"/>
    <w:bookmarkStart w:id="29" w:name="preparing-data"/>
    <w:p>
      <w:pPr>
        <w:pStyle w:val="Heading2"/>
      </w:pPr>
      <w:r>
        <w:t xml:space="preserve">Preparing data</w:t>
      </w:r>
    </w:p>
    <w:bookmarkStart w:id="26" w:name="accessing-pit-tag-data"/>
    <w:p>
      <w:pPr>
        <w:pStyle w:val="Heading3"/>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kept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tributaries in which PIT-tagged juveniles were released) that had at least 250 individuals distributed across 8 run years were kept. Additionally, only populations with instream PIT tag detections sites in their natal tributaries were kept; if sufficient instream detection sites only became available during the later part of our study period, only individuals from those years were kept. Run years were separated by June 1 of each year, and run year 2005/2006 (beginning on June 1, 2005) was selected as the first year in our dataset. In total, populations from 17 natal tributaries met this criteria: 11 tributaries of the Columbia (Deschutes River, John Day River, Hood River, Fifteenmile Creek, Umatilla River, Yakima River, Walla Walla River, Wenatchee River, Entiat River, Okanogan River, and Methow River) and six tributaries of the Snake (Tucannon River, Asotin Creek, Clearwater River, Salmon River, Grande Ronde River, and Imnaha River). Once the tag codes were identified for each of these tributary populations, a complete tag history report was run in PTAGIS for all of the tag codes in our dataset.</w:t>
      </w:r>
    </w:p>
    <w:bookmarkEnd w:id="26"/>
    <w:bookmarkStart w:id="27" w:name="X3ab176b3379414d9185fffa021de8c8d1635c04"/>
    <w:p>
      <w:pPr>
        <w:pStyle w:val="Heading3"/>
      </w:pPr>
      <w:r>
        <w:t xml:space="preserve">Processing PIT tag data into detections at various sites</w:t>
      </w:r>
    </w:p>
    <w:p>
      <w:pPr>
        <w:pStyle w:val="FirstParagraph"/>
      </w:pPr>
      <w:r>
        <w:t xml:space="preserve">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no processing was required, and these detections were interpreted as the fish being in that associated state. For detection sites at dams, additional processing was required to interpret detections.</w:t>
      </w:r>
    </w:p>
    <w:p>
      <w:pPr>
        <w:pStyle w:val="BodyText"/>
      </w:pP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p>
    <w:p>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ascents, but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p>
    <w:p>
      <w:pPr>
        <w:pStyle w:val="BodyText"/>
      </w:pPr>
      <w:r>
        <w:t xml:space="preserve">Additionally, we identified antennas in adult fish facilities/traps at ladders. For most dams, we treated detections in the adult fish facility the same as detections in other parts of the adult ladder, as adults were not removed (e.g., Ice Harbor Dam, Priest Rapids Dam, or Lower Granite Dam, where traps were operated but adults were returned after processing). However, in the case of Wells Dam, trapped fish were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p>
    <w:p>
      <w:pPr>
        <w:pStyle w:val="BodyText"/>
      </w:pPr>
      <w:r>
        <w:t xml:space="preserve">Once the antennas had been appropriately assigned, a 48-hour threshold was used to distinguish separate visits to a site. However, in some passage routes fish were observed in the same route for days at a time, so no time threshold was set, and instead we used the sequence of antennas to distinguish separate visits to a site. For example, some individual fish did not exit the Washington shore passage route at Bonneville Dam for upwards of 100 days, so new visits to this site were only distinguished by new visits to the entrance antennas, regardless of time between detections at other antennas in the passage route.</w:t>
      </w:r>
    </w:p>
    <w:bookmarkEnd w:id="27"/>
    <w:bookmarkStart w:id="28" w:name="X9d7952821dafa3adb5b8128008ae8ccc9a2e02d"/>
    <w:p>
      <w:pPr>
        <w:pStyle w:val="Heading3"/>
      </w:pPr>
      <w:r>
        <w:t xml:space="preserve">Turning detections at different sites into state visits</w:t>
      </w:r>
    </w:p>
    <w:p>
      <w:pPr>
        <w:pStyle w:val="FirstParagraph"/>
      </w:pPr>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through descents through the ladder) indicated a transition from the upstream state to the downstream state. Aborted ascension attempts were noted, but interpreted as no transition from the current state. Detections in tributary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p>
    <w:p>
      <w:pPr>
        <w:pStyle w:val="BodyText"/>
      </w:pPr>
      <w:r>
        <w:t xml:space="preserve">With the exception of a few downstream routes, such as the spillway at Lower Granite Dam following the installation of the PIT tag antennas in 2020, or the Bonneville Corner Collector, PIT tag detection capabilities were limited to the adult fish ladders and the juvenile bypass system at each dam.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w:t>
      </w:r>
    </w:p>
    <w:p>
      <w:pPr>
        <w:pStyle w:val="BodyText"/>
      </w:pP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adult ladders occurring at least 180 days after they were initially seen at Bonneville. For the purposes of our analysis, repeat spawners were treated as new fish when they returned to Bonneville.</w:t>
      </w:r>
    </w:p>
    <w:bookmarkEnd w:id="28"/>
    <w:bookmarkEnd w:id="29"/>
    <w:bookmarkStart w:id="43" w:name="statistical-methods"/>
    <w:p>
      <w:pPr>
        <w:pStyle w:val="Heading2"/>
      </w:pPr>
      <w:r>
        <w:t xml:space="preserve">Statistical methods</w:t>
      </w:r>
    </w:p>
    <w:p>
      <w:pPr>
        <w:pStyle w:val="CaptionedFigure"/>
      </w:pPr>
      <w:r>
        <w:drawing>
          <wp:inline>
            <wp:extent cx="6858000" cy="3857625"/>
            <wp:effectExtent b="0" l="0" r="0" t="0"/>
            <wp:docPr descr="Figure 2. The model schematic." title="" id="31" name="Picture"/>
            <a:graphic>
              <a:graphicData uri="http://schemas.openxmlformats.org/drawingml/2006/picture">
                <pic:pic>
                  <pic:nvPicPr>
                    <pic:cNvPr descr=".//figures/full_model_diagram.jpg" id="32" name="Picture"/>
                    <pic:cNvPicPr>
                      <a:picLocks noChangeArrowheads="1" noChangeAspect="1"/>
                    </pic:cNvPicPr>
                  </pic:nvPicPr>
                  <pic:blipFill>
                    <a:blip r:embed="rId30"/>
                    <a:stretch>
                      <a:fillRect/>
                    </a:stretch>
                  </pic:blipFill>
                  <pic:spPr bwMode="auto">
                    <a:xfrm>
                      <a:off x="0" y="0"/>
                      <a:ext cx="6858000" cy="3857625"/>
                    </a:xfrm>
                    <a:prstGeom prst="rect">
                      <a:avLst/>
                    </a:prstGeom>
                    <a:noFill/>
                    <a:ln w="9525">
                      <a:noFill/>
                      <a:headEnd/>
                      <a:tailEnd/>
                    </a:ln>
                  </pic:spPr>
                </pic:pic>
              </a:graphicData>
            </a:graphic>
          </wp:inline>
        </w:drawing>
      </w:r>
    </w:p>
    <w:p>
      <w:pPr>
        <w:pStyle w:val="ImageCaption"/>
      </w:pPr>
      <w:r>
        <w:t xml:space="preserve">Figure 2. The model schematic.</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Dalles or John Day Dams) were not explicitly modeled due to these dams not having PIT tag detection capabilities for the duration of our study period. Future iterations of the model could be configured to include these dams for part of the time series by splitting state 2 (mainstem, Bonneville Dam to McNary Dam) into three states: (1) mainstem, Bonneville Dam to The Dalles Dam; (2) mainstem, The Dalles Dam to John Day Dam; and (3) mainstem, John Day Dam to McNary Dam. This would allow the estimation of fallback and overshoot at The Dalles Dam and John Day Dam (which would be of particular interest to populations near these dams, such as the Deschutes River or Fifteenmile Creek), but would require a temporally-varying state configuration.</w:t>
      </w:r>
    </w:p>
    <w:p>
      <w:pPr>
        <w:pStyle w:val="BodyText"/>
      </w:pPr>
    </w:p>
    <w:p>
      <w:pPr>
        <w:pStyle w:val="BodyText"/>
      </w:pPr>
      <w:r>
        <w:t xml:space="preserve">An additional state in our model not shown in the schematic, but which can be reached from any state, is the absorbing</w:t>
      </w:r>
      <w:r>
        <w:t xml:space="preserve"> </w:t>
      </w:r>
      <w:r>
        <w:t xml:space="preserve">“</w:t>
      </w:r>
      <w:r>
        <w:t xml:space="preserve">loss</w:t>
      </w:r>
      <w:r>
        <w:t xml:space="preserve">”</w:t>
      </w:r>
      <w:r>
        <w:t xml:space="preserve"> </w:t>
      </w:r>
      <w:r>
        <w:t xml:space="preserve">state, which a fish enters once the detection history ends. Once a fish has entered the loss state, it can no longer leave it. Movements into the loss state are either mortality (via natural mortality, harvest, mortality due to the hydrosystem, etc.) or unobserved movements out of the state, which could be due to missed detections at PIT tag antennas, movements into areas without PIT tag detectors (e.g., certain tributaries), or movements into tributaries that failed to reach PIT tag antennas.</w:t>
      </w:r>
    </w:p>
    <w:bookmarkStart w:id="37" w:name="X9e8470cef83312ad8c4828d8a2c136a9f7e243d"/>
    <w:p>
      <w:pPr>
        <w:pStyle w:val="Heading3"/>
      </w:pPr>
      <w:r>
        <w:t xml:space="preserve">Modeling detection efficiency in tributaries</w:t>
      </w:r>
    </w:p>
    <w:p>
      <w:pPr>
        <w:pStyle w:val="FirstParagraph"/>
      </w:pPr>
      <w:r>
        <w:t xml:space="preserve">Over the course of our study period, the network of PIT tag detection arrays in tributaries was highly dynamic, as antennas were installed, decommissioned, and upgraded. From 2010 to 2018, the number of tag detection arrays in tributaries almost tripled</w:t>
      </w:r>
      <w:r>
        <w:t xml:space="preserve"> </w:t>
      </w:r>
      <w:r>
        <w:t xml:space="preserve">(Morrisett 2018)</w:t>
      </w:r>
      <w:r>
        <w:t xml:space="preserve">, and in some years of our study, the tributaries in our model had no active antennas at all</w:t>
      </w:r>
      <w:r>
        <w:t xml:space="preserve"> </w:t>
      </w:r>
      <w:r>
        <w:t xml:space="preserve">(Richins 2017)</w:t>
      </w:r>
      <w:r>
        <w:t xml:space="preserve">. As a consequence, our ability to detect fish entering these tributaries varied considerably both temporally and spatially (between tributaries).</w:t>
      </w:r>
    </w:p>
    <w:p>
      <w:pPr>
        <w:pStyle w:val="BodyText"/>
      </w:pPr>
    </w:p>
    <w:p>
      <w:pPr>
        <w:pStyle w:val="BodyText"/>
      </w:pPr>
      <w:r>
        <w:t xml:space="preserve">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w:t>
      </w:r>
    </w:p>
    <w:p>
      <w:pPr>
        <w:pStyle w:val="BodyText"/>
      </w:pPr>
    </w:p>
    <w:p>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was queried from USGS by finding the station on the</w:t>
      </w:r>
      <w:r>
        <w:t xml:space="preserve"> </w:t>
      </w:r>
      <w:hyperlink r:id="rId33">
        <w:r>
          <w:rPr>
            <w:rStyle w:val="Hyperlink"/>
          </w:rPr>
          <w:t xml:space="preserve">interactive USGS dashboard</w:t>
        </w:r>
      </w:hyperlink>
      <w:r>
        <w:t xml:space="preserve"> </w:t>
      </w:r>
      <w:r>
        <w:t xml:space="preserve">closest the river mouth array and navigating to the data page for the specific site. Discharge data was available for all tributaries except Fifteenmile Creek and the Imnaha River; these tributaries therefore had detection efficiency estimated only via the categorical covariate (intercept) for antenna configuration.</w:t>
      </w:r>
    </w:p>
    <w:p>
      <w:pPr>
        <w:pStyle w:val="BodyText"/>
      </w:pPr>
    </w:p>
    <w:p>
      <w:pPr>
        <w:pStyle w:val="CaptionedFigure"/>
      </w:pPr>
      <w:r>
        <w:drawing>
          <wp:inline>
            <wp:extent cx="4876800" cy="3657600"/>
            <wp:effectExtent b="0" l="0" r="0" t="0"/>
            <wp:docPr descr="Figure 3. Hood River Mouth Array." title="" id="35" name="Picture"/>
            <a:graphic>
              <a:graphicData uri="http://schemas.openxmlformats.org/drawingml/2006/picture">
                <pic:pic>
                  <pic:nvPicPr>
                    <pic:cNvPr descr=".//figures/hood_river_site.png" id="36" name="Picture"/>
                    <pic:cNvPicPr>
                      <a:picLocks noChangeArrowheads="1" noChangeAspect="1"/>
                    </pic:cNvPicPr>
                  </pic:nvPicPr>
                  <pic:blipFill>
                    <a:blip r:embed="rId34"/>
                    <a:stretch>
                      <a:fillRect/>
                    </a:stretch>
                  </pic:blipFill>
                  <pic:spPr bwMode="auto">
                    <a:xfrm>
                      <a:off x="0" y="0"/>
                      <a:ext cx="4876800" cy="3657600"/>
                    </a:xfrm>
                    <a:prstGeom prst="rect">
                      <a:avLst/>
                    </a:prstGeom>
                    <a:noFill/>
                    <a:ln w="9525">
                      <a:noFill/>
                      <a:headEnd/>
                      <a:tailEnd/>
                    </a:ln>
                  </pic:spPr>
                </pic:pic>
              </a:graphicData>
            </a:graphic>
          </wp:inline>
        </w:drawing>
      </w:r>
    </w:p>
    <w:p>
      <w:pPr>
        <w:pStyle w:val="ImageCaption"/>
      </w:pPr>
      <w:r>
        <w:t xml:space="preserve">Figure 3. Hood River Mouth Array.</w:t>
      </w:r>
    </w:p>
    <w:p>
      <w:pPr>
        <w:pStyle w:val="BodyText"/>
      </w:pPr>
      <w:r>
        <w:t xml:space="preserve"> </w:t>
      </w:r>
      <w:r>
        <w:br/>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Tributary PIT tag antenna configurations used in detection efficiency estimation.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89"/>
        <w:gridCol w:w="1330"/>
        <w:gridCol w:w="3500"/>
        <w:gridCol w:w="490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Tributary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Years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Configuration</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15/16-21/22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 Mouth (HRM)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Ck at Eighmile Ck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 Mouth (DRM)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 McDonald Ferry (JD1)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07/08-13/14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Antenna installation at entrance to adult ladder</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05/06-11/12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Oasis Road Bridge (ORB)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 at Pierce RV Pk (PRV)</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19/20-21/22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Barge Array (WWB)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Prosser Diversion Dam (PRO)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Wenatchee River (LWE)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Entiat River (ENL)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09/10-16/17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17/18-21/22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Site was moved 5 km upstream and tranceivers replaced</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Okanogan Instream Array (OKL)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20/21-21/22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antennas replaced, additional antenna installed</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11/12-17/18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18/19-21/22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components replaced and upgraded</w:t>
            </w:r>
          </w:p>
        </w:tc>
      </w:tr>
      <w:tr>
        <w:trPr>
          <w:cantSplit/>
          <w:trHeight w:val="59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Imnaha River ISA @ km 7 (IR1)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bl>
    <w:p>
      <w:pPr>
        <w:pStyle w:val="BodyText"/>
      </w:pPr>
      <w:r>
        <w:t xml:space="preserve"> </w:t>
      </w:r>
      <w:r>
        <w:br/>
      </w:r>
    </w:p>
    <w:p>
      <w:pPr>
        <w:pStyle w:val="BodyText"/>
      </w:pPr>
      <w:r>
        <w:t xml:space="preserve">Detection efficiency was then estimated using a logistic regression, with detection a function of an intercept, for the categorical covariate of site configuration, and a slope term (unique to each tributary) multiplied by the mean discharge in that run year.</w:t>
      </w:r>
    </w:p>
    <w:p>
      <w:pPr>
        <w:pStyle w:val="BodyText"/>
      </w:pPr>
      <m:oMathPara>
        <m:oMathParaPr>
          <m:jc m:val="center"/>
        </m:oMathParaPr>
        <m:oMath>
          <m:sSub>
            <m:e>
              <m:r>
                <m:t>z</m:t>
              </m:r>
            </m:e>
            <m:sub>
              <m:r>
                <m:t>i</m:t>
              </m:r>
            </m:sub>
          </m:sSub>
          <m:r>
            <m:rPr>
              <m:sty m:val="p"/>
            </m:rPr>
            <m:t>∼</m:t>
          </m:r>
          <m:r>
            <m:rPr>
              <m:nor/>
              <m:sty m:val="p"/>
            </m:rPr>
            <m:t>Bernoulli</m:t>
          </m:r>
          <m:d>
            <m:dPr>
              <m:begChr m:val="("/>
              <m:endChr m:val=")"/>
              <m:sepChr m:val=""/>
              <m:grow/>
            </m:dPr>
            <m:e>
              <m:sSub>
                <m:e>
                  <m:r>
                    <m:t>p</m:t>
                  </m:r>
                </m:e>
                <m:sub>
                  <m:r>
                    <m:t>i</m:t>
                  </m:r>
                </m:sub>
              </m:sSub>
            </m:e>
          </m:d>
        </m:oMath>
      </m:oMathPara>
    </w:p>
    <w:p>
      <w:pPr>
        <w:pStyle w:val="FirstParagraph"/>
      </w:pPr>
      <m:oMathPara>
        <m:oMathParaPr>
          <m:jc m:val="center"/>
        </m:oMathParaPr>
        <m:oMath>
          <m:r>
            <m:rPr>
              <m:nor/>
              <m:sty m:val="p"/>
            </m:rPr>
            <m:t>logit</m:t>
          </m:r>
          <m:d>
            <m:dPr>
              <m:begChr m:val="("/>
              <m:endChr m:val=")"/>
              <m:sepChr m:val=""/>
              <m:grow/>
            </m:dPr>
            <m:e>
              <m:sSub>
                <m:e>
                  <m:r>
                    <m:t>p</m:t>
                  </m:r>
                </m:e>
                <m:sub>
                  <m:r>
                    <m:t>i</m:t>
                  </m:r>
                </m:sub>
              </m:sSub>
            </m:e>
          </m:d>
          <m:r>
            <m:rPr>
              <m:sty m:val="p"/>
            </m:rPr>
            <m:t>=</m:t>
          </m:r>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oMath>
      </m:oMathPara>
    </w:p>
    <w:p>
      <w:pPr>
        <w:pStyle w:val="FirstParagraph"/>
      </w:pPr>
      <w:r>
        <w:t xml:space="preserve">In this equation,</w:t>
      </w:r>
      <w:r>
        <w:t xml:space="preserve"> </w:t>
      </w:r>
      <m:oMath>
        <m:r>
          <m:t>z</m:t>
        </m:r>
      </m:oMath>
      <w:r>
        <w:t xml:space="preserve"> </w:t>
      </w:r>
      <w:r>
        <w:t xml:space="preserve">is whether or not an individual fish was detected (0 or 1),</w:t>
      </w:r>
      <w:r>
        <w:t xml:space="preserve"> </w:t>
      </w:r>
      <m:oMath>
        <m:r>
          <m:t>p</m:t>
        </m:r>
      </m:oMath>
      <w:r>
        <w:t xml:space="preserve"> </w:t>
      </w:r>
      <w:r>
        <w:t xml:space="preserve">is the probability of detection,</w:t>
      </w:r>
      <w:r>
        <w:t xml:space="preserve"> </w:t>
      </w:r>
      <m:oMath>
        <m:r>
          <m:t>α</m:t>
        </m:r>
      </m:oMath>
      <w:r>
        <w:t xml:space="preserve"> </w:t>
      </w:r>
      <w:r>
        <w:t xml:space="preserve">is the categorical covariate for site configuration, and</w:t>
      </w:r>
      <w:r>
        <w:t xml:space="preserve"> </w:t>
      </w:r>
      <m:oMath>
        <m:r>
          <m:t>β</m:t>
        </m:r>
      </m:oMath>
      <w:r>
        <w:t xml:space="preserve"> </w:t>
      </w:r>
      <w:r>
        <w:t xml:space="preserve">is the slope for the effect of discharge on the probability of detection efficiency.</w:t>
      </w:r>
    </w:p>
    <w:p>
      <w:pPr>
        <w:pStyle w:val="BodyText"/>
      </w:pPr>
      <w:r>
        <w:t xml:space="preserve">The indices represent the following:</w:t>
      </w:r>
    </w:p>
    <w:p>
      <w:pPr>
        <w:numPr>
          <w:ilvl w:val="0"/>
          <w:numId w:val="1001"/>
        </w:numPr>
        <w:pStyle w:val="Compact"/>
      </w:pPr>
      <m:oMath>
        <m:r>
          <m:t>i</m:t>
        </m:r>
      </m:oMath>
      <w:r>
        <w:t xml:space="preserve"> </w:t>
      </w:r>
      <w:r>
        <w:t xml:space="preserve">is the individual fish</w:t>
      </w:r>
    </w:p>
    <w:p>
      <w:pPr>
        <w:numPr>
          <w:ilvl w:val="0"/>
          <w:numId w:val="1001"/>
        </w:numPr>
        <w:pStyle w:val="Compact"/>
      </w:pPr>
      <m:oMath>
        <m:r>
          <m:t>j</m:t>
        </m:r>
      </m:oMath>
      <w:r>
        <w:t xml:space="preserve"> </w:t>
      </w:r>
      <w:r>
        <w:t xml:space="preserve">is the tributary</w:t>
      </w:r>
    </w:p>
    <w:p>
      <w:pPr>
        <w:numPr>
          <w:ilvl w:val="0"/>
          <w:numId w:val="1001"/>
        </w:numPr>
        <w:pStyle w:val="Compact"/>
      </w:pPr>
      <m:oMath>
        <m:r>
          <m:t>k</m:t>
        </m:r>
      </m:oMath>
      <w:r>
        <w:t xml:space="preserve"> </w:t>
      </w:r>
      <w:r>
        <w:t xml:space="preserve">is the site configuration (a categorical variable)</w:t>
      </w:r>
    </w:p>
    <w:p>
      <w:pPr>
        <w:numPr>
          <w:ilvl w:val="0"/>
          <w:numId w:val="1001"/>
        </w:numPr>
        <w:pStyle w:val="Compact"/>
      </w:pPr>
      <m:oMath>
        <m:r>
          <m:t>t</m:t>
        </m:r>
      </m:oMath>
      <w:r>
        <w:t xml:space="preserve"> </w:t>
      </w:r>
      <w:r>
        <w:t xml:space="preserve">is the run year</w:t>
      </w:r>
    </w:p>
    <w:p>
      <w:pPr>
        <w:pStyle w:val="FirstParagraph"/>
      </w:pPr>
      <w:r>
        <w:t xml:space="preserve">A Stan</w:t>
      </w:r>
      <w:r>
        <w:t xml:space="preserve"> </w:t>
      </w:r>
      <w:r>
        <w:t xml:space="preserve">(Carpenter</w:t>
      </w:r>
      <w:r>
        <w:t xml:space="preserve"> </w:t>
      </w:r>
      <w:r>
        <w:rPr>
          <w:iCs/>
          <w:i/>
        </w:rPr>
        <w:t xml:space="preserve">et al.</w:t>
      </w:r>
      <w:r>
        <w:t xml:space="preserve"> </w:t>
      </w:r>
      <w:r>
        <w:t xml:space="preserve">2017)</w:t>
      </w:r>
      <w:r>
        <w:t xml:space="preserve"> </w:t>
      </w:r>
      <w:r>
        <w:t xml:space="preserve">model was used to estimate detection probability in each tributary. Discharge values were Z-scored prior to the model being fit. The posteriors from this model for each of the</w:t>
      </w:r>
      <w:r>
        <w:t xml:space="preserve"> </w:t>
      </w:r>
      <m:oMath>
        <m:r>
          <m:t>α</m:t>
        </m:r>
      </m:oMath>
      <w:r>
        <w:t xml:space="preserve"> </w:t>
      </w:r>
      <w:r>
        <w:t xml:space="preserve">(site configuration covariates) and</w:t>
      </w:r>
      <w:r>
        <w:t xml:space="preserve"> </w:t>
      </w:r>
      <m:oMath>
        <m:r>
          <m:t>β</m:t>
        </m:r>
      </m:oMath>
      <w:r>
        <w:t xml:space="preserve"> </w:t>
      </w:r>
      <w:r>
        <w:t xml:space="preserve">(effect of discharge) terms were used as priors in the primary Stan model that was used to estimate movement. The fit for detection efficiency can be found in Appendix 1.</w:t>
      </w:r>
    </w:p>
    <w:bookmarkEnd w:id="37"/>
    <w:bookmarkStart w:id="39" w:name="movement-model"/>
    <w:p>
      <w:pPr>
        <w:pStyle w:val="Heading3"/>
      </w:pPr>
      <w:r>
        <w:t xml:space="preserve">Movement model</w:t>
      </w:r>
    </w:p>
    <w:p>
      <w:pPr>
        <w:pStyle w:val="FirstParagraph"/>
      </w:pPr>
      <w:r>
        <w:t xml:space="preserve">The history of state transitions for each individual PIT-tagged fish, as well as the information on that fish’s natal origin, were the inputs for the current configuration of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3). All fish in our model begin when they are first detected as adults in the fish ladders at Bonneville Dam. At each state in our model, each fish is assigned a probability of moving to any of the states connected to the current states, or into the absorbing loss category, which a fish enters once the detection history ends. Each of these probabilities is evaluated through a categorical logit, with an intercept term (a grand mean, for all fish in the dataset) as well as a term for the origin of the fish. The loss probability calculated as 1 - the sum of the other probabilities, enforcing a constraint that all movement probabilities have to sum to 1.</w:t>
      </w:r>
    </w:p>
    <w:p>
      <w:pPr>
        <w:pStyle w:val="BodyText"/>
      </w:pPr>
    </w:p>
    <w:p>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the Middle Columbia DPS, the Upper Columbia DPS, and the Snake River Basin DPS. 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 All code is available at</w:t>
      </w:r>
      <w:r>
        <w:t xml:space="preserve"> </w:t>
      </w:r>
      <w:hyperlink r:id="rId38">
        <w:r>
          <w:rPr>
            <w:rStyle w:val="Hyperlink"/>
          </w:rPr>
          <w:t xml:space="preserve">https://github.com/markusmin/steelhead</w:t>
        </w:r>
      </w:hyperlink>
      <w:r>
        <w:t xml:space="preserve">.</w:t>
      </w:r>
    </w:p>
    <w:p>
      <w:pPr>
        <w:pStyle w:val="BodyText"/>
      </w:pPr>
    </w:p>
    <w:p>
      <w:pPr>
        <w:pStyle w:val="BodyText"/>
      </w:pPr>
      <w:r>
        <w:t xml:space="preserve">For each observation of a fish in a state, there are</w:t>
      </w:r>
      <w:r>
        <w:t xml:space="preserve"> </w:t>
      </w:r>
      <m:oMath>
        <m:r>
          <m:t>n</m:t>
        </m:r>
      </m:oMath>
      <w:r>
        <w:t xml:space="preserve"> </w:t>
      </w:r>
      <w:r>
        <w:t xml:space="preserve">possible non-loss transitions out of the current state, which correspond to the number of arrows out of the state as seen in Fig. 2. The probability of moving to each of the</w:t>
      </w:r>
      <w:r>
        <w:t xml:space="preserve"> </w:t>
      </w:r>
      <m:oMath>
        <m:r>
          <m:t>n</m:t>
        </m:r>
      </m:oMath>
      <w:r>
        <w:t xml:space="preserve"> </w:t>
      </w:r>
      <w:r>
        <w:t xml:space="preserve">states is given as follows:</w:t>
      </w:r>
    </w:p>
    <w:p>
      <w:pPr>
        <w:pStyle w:val="BodyText"/>
      </w:pPr>
    </w:p>
    <w:p>
      <w:pPr>
        <w:pStyle w:val="BodyText"/>
      </w:pPr>
      <w:r>
        <w:t xml:space="preserve">for (i in 1:n):</w:t>
      </w:r>
    </w:p>
    <w:p>
      <w:pPr>
        <w:pStyle w:val="BodyText"/>
      </w:pPr>
      <m:oMathPara>
        <m:oMathParaPr>
          <m:jc m:val="center"/>
        </m:oMathParaPr>
        <m:oMath>
          <m:sSub>
            <m:e>
              <m:r>
                <m:t>p</m:t>
              </m:r>
            </m:e>
            <m:sub>
              <m:r>
                <m:t>i</m:t>
              </m:r>
            </m:sub>
          </m:sSub>
          <m:r>
            <m:rPr>
              <m:sty m:val="p"/>
            </m:rPr>
            <m:t>=</m:t>
          </m:r>
          <m:f>
            <m:fPr>
              <m:type m:val="bar"/>
            </m:fPr>
            <m:num>
              <m:r>
                <m:t>e</m:t>
              </m:r>
              <m:r>
                <m:t>x</m:t>
              </m:r>
              <m:r>
                <m:t>p</m:t>
              </m:r>
              <m:d>
                <m:dPr>
                  <m:begChr m:val="("/>
                  <m:endChr m:val=")"/>
                  <m:sepChr m:val=""/>
                  <m:grow/>
                </m:dPr>
                <m:e>
                  <m:sSub>
                    <m:e>
                      <m:r>
                        <m:t>b</m:t>
                      </m:r>
                    </m:e>
                    <m:sub>
                      <m:r>
                        <m:t>0</m:t>
                      </m:r>
                      <m:r>
                        <m:rPr>
                          <m:sty m:val="p"/>
                        </m:rPr>
                        <m:t>,</m:t>
                      </m:r>
                      <m:r>
                        <m:t>i</m:t>
                      </m:r>
                    </m:sub>
                  </m:sSub>
                  <m:r>
                    <m:rPr>
                      <m:sty m:val="p"/>
                    </m:rPr>
                    <m:t>+</m:t>
                  </m:r>
                  <m:sSub>
                    <m:e>
                      <m:r>
                        <m:t>b</m:t>
                      </m:r>
                    </m:e>
                    <m:sub>
                      <m:r>
                        <m:t>o</m:t>
                      </m:r>
                      <m:r>
                        <m:t>r</m:t>
                      </m:r>
                      <m:r>
                        <m:t>i</m:t>
                      </m:r>
                      <m:r>
                        <m:t>g</m:t>
                      </m:r>
                      <m:r>
                        <m:t>i</m:t>
                      </m:r>
                      <m:r>
                        <m:t>n</m:t>
                      </m:r>
                      <m:r>
                        <m:rPr>
                          <m:sty m:val="p"/>
                        </m:rPr>
                        <m:t>,</m:t>
                      </m:r>
                      <m:r>
                        <m:t>i</m:t>
                      </m:r>
                    </m:sub>
                  </m:sSub>
                </m:e>
              </m:d>
            </m:num>
            <m:den>
              <m:r>
                <m:t>1</m:t>
              </m:r>
              <m:r>
                <m:rPr>
                  <m:sty m:val="p"/>
                </m:rPr>
                <m:t>+</m:t>
              </m:r>
              <m:r>
                <m:t>e</m:t>
              </m:r>
              <m:r>
                <m:t>x</m:t>
              </m:r>
              <m:r>
                <m:t>p</m:t>
              </m:r>
              <m:d>
                <m:dPr>
                  <m:begChr m:val="("/>
                  <m:endChr m:val=")"/>
                  <m:sepChr m:val=""/>
                  <m:grow/>
                </m:dPr>
                <m:e>
                  <m:sSub>
                    <m:e>
                      <m:r>
                        <m:t>b</m:t>
                      </m:r>
                    </m:e>
                    <m:sub>
                      <m:r>
                        <m:t>0</m:t>
                      </m:r>
                      <m:r>
                        <m:rPr>
                          <m:sty m:val="p"/>
                        </m:rPr>
                        <m:t>,</m:t>
                      </m:r>
                      <m:r>
                        <m:t>1</m:t>
                      </m:r>
                    </m:sub>
                  </m:sSub>
                  <m:r>
                    <m:rPr>
                      <m:sty m:val="p"/>
                    </m:rPr>
                    <m:t>+</m:t>
                  </m:r>
                  <m:sSub>
                    <m:e>
                      <m:r>
                        <m:t>b</m:t>
                      </m:r>
                    </m:e>
                    <m:sub>
                      <m:r>
                        <m:t>o</m:t>
                      </m:r>
                      <m:r>
                        <m:t>r</m:t>
                      </m:r>
                      <m:r>
                        <m:t>i</m:t>
                      </m:r>
                      <m:r>
                        <m:t>g</m:t>
                      </m:r>
                      <m:r>
                        <m:t>i</m:t>
                      </m:r>
                      <m:r>
                        <m:t>n</m:t>
                      </m:r>
                      <m:r>
                        <m:rPr>
                          <m:sty m:val="p"/>
                        </m:rPr>
                        <m:t>,</m:t>
                      </m:r>
                      <m:r>
                        <m:t>1</m:t>
                      </m:r>
                    </m:sub>
                  </m:sSub>
                </m:e>
              </m:d>
              <m:r>
                <m:rPr>
                  <m:sty m:val="p"/>
                </m:rPr>
                <m:t>+</m:t>
              </m:r>
              <m:r>
                <m:t>e</m:t>
              </m:r>
              <m:r>
                <m:t>x</m:t>
              </m:r>
              <m:r>
                <m:t>p</m:t>
              </m:r>
              <m:d>
                <m:dPr>
                  <m:begChr m:val="("/>
                  <m:endChr m:val=")"/>
                  <m:sepChr m:val=""/>
                  <m:grow/>
                </m:dPr>
                <m:e>
                  <m:sSub>
                    <m:e>
                      <m:r>
                        <m:t>b</m:t>
                      </m:r>
                    </m:e>
                    <m:sub>
                      <m:r>
                        <m:t>0</m:t>
                      </m:r>
                      <m:r>
                        <m:rPr>
                          <m:sty m:val="p"/>
                        </m:rPr>
                        <m:t>,</m:t>
                      </m:r>
                      <m:r>
                        <m:t>2</m:t>
                      </m:r>
                    </m:sub>
                  </m:sSub>
                  <m:r>
                    <m:rPr>
                      <m:sty m:val="p"/>
                    </m:rPr>
                    <m:t>+</m:t>
                  </m:r>
                  <m:sSub>
                    <m:e>
                      <m:r>
                        <m:t>b</m:t>
                      </m:r>
                    </m:e>
                    <m:sub>
                      <m:r>
                        <m:t>o</m:t>
                      </m:r>
                      <m:r>
                        <m:t>r</m:t>
                      </m:r>
                      <m:r>
                        <m:t>i</m:t>
                      </m:r>
                      <m:r>
                        <m:t>g</m:t>
                      </m:r>
                      <m:r>
                        <m:t>i</m:t>
                      </m:r>
                      <m:r>
                        <m:t>n</m:t>
                      </m:r>
                      <m:r>
                        <m:rPr>
                          <m:sty m:val="p"/>
                        </m:rPr>
                        <m:t>,</m:t>
                      </m:r>
                      <m:r>
                        <m:t>2</m:t>
                      </m:r>
                    </m:sub>
                  </m:sSub>
                </m:e>
              </m:d>
              <m:r>
                <m:rPr>
                  <m:sty m:val="p"/>
                </m:rPr>
                <m:t>+</m:t>
              </m:r>
              <m:r>
                <m:rPr>
                  <m:sty m:val="p"/>
                </m:rPr>
                <m:t>.</m:t>
              </m:r>
              <m:r>
                <m:rPr>
                  <m:sty m:val="p"/>
                </m:rPr>
                <m:t>.</m:t>
              </m:r>
              <m:r>
                <m:rPr>
                  <m:sty m:val="p"/>
                </m:rPr>
                <m:t>.</m:t>
              </m:r>
              <m:r>
                <m:t>e</m:t>
              </m:r>
              <m:r>
                <m:t>x</m:t>
              </m:r>
              <m:r>
                <m:t>p</m:t>
              </m:r>
              <m:d>
                <m:dPr>
                  <m:begChr m:val="("/>
                  <m:endChr m:val=")"/>
                  <m:sepChr m:val=""/>
                  <m:grow/>
                </m:dPr>
                <m:e>
                  <m:sSub>
                    <m:e>
                      <m:r>
                        <m:t>b</m:t>
                      </m:r>
                    </m:e>
                    <m:sub>
                      <m:r>
                        <m:t>0</m:t>
                      </m:r>
                      <m:r>
                        <m:rPr>
                          <m:sty m:val="p"/>
                        </m:rPr>
                        <m:t>,</m:t>
                      </m:r>
                      <m:r>
                        <m:t>n</m:t>
                      </m:r>
                    </m:sub>
                  </m:sSub>
                  <m:r>
                    <m:rPr>
                      <m:sty m:val="p"/>
                    </m:rPr>
                    <m:t>+</m:t>
                  </m:r>
                  <m:sSub>
                    <m:e>
                      <m:r>
                        <m:t>b</m:t>
                      </m:r>
                    </m:e>
                    <m:sub>
                      <m:r>
                        <m:t>o</m:t>
                      </m:r>
                      <m:r>
                        <m:t>r</m:t>
                      </m:r>
                      <m:r>
                        <m:t>i</m:t>
                      </m:r>
                      <m:r>
                        <m:t>g</m:t>
                      </m:r>
                      <m:r>
                        <m:t>i</m:t>
                      </m:r>
                      <m:r>
                        <m:t>n</m:t>
                      </m:r>
                      <m:r>
                        <m:rPr>
                          <m:sty m:val="p"/>
                        </m:rPr>
                        <m:t>,</m:t>
                      </m:r>
                      <m:r>
                        <m:t>n</m:t>
                      </m:r>
                    </m:sub>
                  </m:sSub>
                </m:e>
              </m:d>
            </m:den>
          </m:f>
        </m:oMath>
      </m:oMathPara>
    </w:p>
    <w:p>
      <w:pPr>
        <w:pStyle w:val="FirstParagraph"/>
      </w:pPr>
    </w:p>
    <w:p>
      <w:pPr>
        <w:pStyle w:val="BodyText"/>
      </w:pPr>
      <w:r>
        <w:t xml:space="preserve">The loss term is given by the following equation:</w:t>
      </w:r>
    </w:p>
    <w:p>
      <w:pPr>
        <w:pStyle w:val="BodyText"/>
      </w:pPr>
      <m:oMathPara>
        <m:oMathParaPr>
          <m:jc m:val="center"/>
        </m:oMathParaPr>
        <m:oMath>
          <m:sSub>
            <m:e>
              <m:r>
                <m:t>p</m:t>
              </m:r>
            </m:e>
            <m:sub>
              <m:r>
                <m:t>l</m:t>
              </m:r>
              <m:r>
                <m:t>o</m:t>
              </m:r>
              <m:r>
                <m:t>s</m:t>
              </m:r>
              <m:r>
                <m:t>s</m:t>
              </m:r>
            </m:sub>
          </m:sSub>
          <m:r>
            <m:rPr>
              <m:sty m:val="p"/>
            </m:rPr>
            <m:t>=</m:t>
          </m:r>
          <m:r>
            <m:t>1</m:t>
          </m:r>
          <m:r>
            <m:rPr>
              <m:sty m:val="p"/>
            </m:rPr>
            <m:t>−</m:t>
          </m:r>
          <m:nary>
            <m:naryPr>
              <m:chr m:val="∑"/>
              <m:limLoc m:val="undOvr"/>
              <m:subHide m:val="0"/>
              <m:supHide m:val="0"/>
            </m:naryPr>
            <m:sub>
              <m:r>
                <m:t>i</m:t>
              </m:r>
              <m:r>
                <m:rPr>
                  <m:sty m:val="p"/>
                </m:rPr>
                <m:t>=</m:t>
              </m:r>
              <m:r>
                <m:t>1</m:t>
              </m:r>
            </m:sub>
            <m:sup>
              <m:r>
                <m:t>n</m:t>
              </m:r>
            </m:sup>
            <m:e>
              <m:sSub>
                <m:e>
                  <m:r>
                    <m:t>p</m:t>
                  </m:r>
                </m:e>
                <m:sub>
                  <m:r>
                    <m:t>i</m:t>
                  </m:r>
                </m:sub>
              </m:sSub>
            </m:e>
          </m:nary>
        </m:oMath>
      </m:oMathPara>
    </w:p>
    <w:p>
      <w:pPr>
        <w:pStyle w:val="FirstParagraph"/>
      </w:pPr>
    </w:p>
    <w:p>
      <w:pPr>
        <w:pStyle w:val="BodyText"/>
      </w:pPr>
      <w:r>
        <w:t xml:space="preserve">This generates a vector of probabilities, corresponding to the movement probability from the current state to each of the connecting states. At this point, the detection efficiency correction is implemented for all transitions for which we can calculate a detection efficiency, to estimate the observed movement probabilities from the true vector of movement probabilities. Given that for almost every tributary, detection efficiency could not be calculated for every year, the first step was to identify which connecting states had the ability to estimate detection efficiency in the year in which the transition occurred. For each of the transitions for which a detection efficiency could then be calculated, the following correction was made:</w:t>
      </w:r>
    </w:p>
    <w:p>
      <w:pPr>
        <w:pStyle w:val="BodyText"/>
      </w:pPr>
      <w:r>
        <w:t xml:space="preserve">First, the detection efficiency of that tributary in that year, with that year’s mean discharge, was estimated:</w:t>
      </w:r>
    </w:p>
    <w:p>
      <w:pPr>
        <w:pStyle w:val="BodyText"/>
      </w:pPr>
      <m:oMathPara>
        <m:oMathParaPr>
          <m:jc m:val="center"/>
        </m:oMathParaPr>
        <m:oMath>
          <m:sSub>
            <m:e>
              <m:r>
                <m:t>p</m:t>
              </m:r>
            </m:e>
            <m:sub>
              <m:r>
                <m:t>d</m:t>
              </m:r>
              <m:r>
                <m:t>e</m:t>
              </m:r>
              <m:r>
                <m:t>t</m:t>
              </m:r>
              <m:r>
                <m:t>e</m:t>
              </m:r>
              <m:r>
                <m:t>c</m:t>
              </m:r>
              <m:r>
                <m:t>t</m:t>
              </m:r>
              <m:r>
                <m:t>i</m:t>
              </m:r>
              <m:r>
                <m:t>o</m:t>
              </m:r>
              <m:r>
                <m:t>n</m:t>
              </m:r>
              <m:r>
                <m:rPr>
                  <m:sty m:val="p"/>
                </m:rPr>
                <m:t>,</m:t>
              </m:r>
              <m:r>
                <m:t>j</m:t>
              </m:r>
              <m:r>
                <m:rPr>
                  <m:sty m:val="p"/>
                </m:rPr>
                <m:t>,</m:t>
              </m:r>
              <m:r>
                <m:t>t</m:t>
              </m:r>
            </m:sub>
          </m:sSub>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r>
            <m:rPr>
              <m:sty m:val="p"/>
            </m:rPr>
            <m:t>/</m:t>
          </m:r>
          <m:d>
            <m:dPr>
              <m:begChr m:val="("/>
              <m:endChr m:val=")"/>
              <m:sepChr m:val=""/>
              <m:grow/>
            </m:dPr>
            <m:e>
              <m:r>
                <m:t>1</m:t>
              </m:r>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e>
          </m:d>
        </m:oMath>
      </m:oMathPara>
    </w:p>
    <w:p>
      <w:pPr>
        <w:pStyle w:val="FirstParagraph"/>
      </w:pPr>
      <w:r>
        <w:t xml:space="preserve">Next, the probability of the corresponding transition in the vector of observed transitions was adjusted:</w:t>
      </w:r>
    </w:p>
    <w:p>
      <w:pPr>
        <w:pStyle w:val="BodyText"/>
      </w:pPr>
      <m:oMathPara>
        <m:oMathParaPr>
          <m:jc m:val="center"/>
        </m:oMathParaPr>
        <m:oMath>
          <m:sSub>
            <m:e>
              <m:r>
                <m:t>p</m:t>
              </m:r>
            </m:e>
            <m:sub>
              <m:r>
                <m:t>o</m:t>
              </m:r>
              <m:r>
                <m:t>b</m:t>
              </m:r>
              <m:r>
                <m:t>s</m:t>
              </m:r>
              <m:r>
                <m:rPr>
                  <m:sty m:val="p"/>
                </m:rPr>
                <m:t>,</m:t>
              </m:r>
              <m:r>
                <m:t>j</m:t>
              </m:r>
            </m:sub>
          </m:sSub>
          <m:r>
            <m:rPr>
              <m:sty m:val="p"/>
            </m:rPr>
            <m:t>=</m:t>
          </m:r>
          <m:sSub>
            <m:e>
              <m:r>
                <m:t>p</m:t>
              </m:r>
            </m:e>
            <m:sub>
              <m:r>
                <m:t>a</m:t>
              </m:r>
              <m:r>
                <m:t>c</m:t>
              </m:r>
              <m:r>
                <m:t>t</m:t>
              </m:r>
              <m:r>
                <m:t>u</m:t>
              </m:r>
              <m:r>
                <m:t>a</m:t>
              </m:r>
              <m:r>
                <m:t>l</m:t>
              </m:r>
              <m:r>
                <m:rPr>
                  <m:sty m:val="p"/>
                </m:rPr>
                <m:t>,</m:t>
              </m:r>
              <m:r>
                <m:t>j</m:t>
              </m:r>
            </m:sub>
          </m:sSub>
          <m:r>
            <m:rPr>
              <m:sty m:val="p"/>
            </m:rPr>
            <m:t>*</m:t>
          </m:r>
          <m:sSub>
            <m:e>
              <m:r>
                <m:t>p</m:t>
              </m:r>
            </m:e>
            <m:sub>
              <m:r>
                <m:t>d</m:t>
              </m:r>
              <m:r>
                <m:t>e</m:t>
              </m:r>
              <m:r>
                <m:t>t</m:t>
              </m:r>
              <m:r>
                <m:t>e</m:t>
              </m:r>
              <m:r>
                <m:t>c</m:t>
              </m:r>
              <m:r>
                <m:t>t</m:t>
              </m:r>
              <m:r>
                <m:t>i</m:t>
              </m:r>
              <m:r>
                <m:t>o</m:t>
              </m:r>
              <m:r>
                <m:t>n</m:t>
              </m:r>
              <m:r>
                <m:rPr>
                  <m:sty m:val="p"/>
                </m:rPr>
                <m:t>,</m:t>
              </m:r>
              <m:r>
                <m:t>j</m:t>
              </m:r>
              <m:r>
                <m:rPr>
                  <m:sty m:val="p"/>
                </m:rPr>
                <m:t>,</m:t>
              </m:r>
              <m:r>
                <m:t>t</m:t>
              </m:r>
            </m:sub>
          </m:sSub>
        </m:oMath>
      </m:oMathPara>
    </w:p>
    <w:p>
      <w:pPr>
        <w:pStyle w:val="FirstParagraph"/>
      </w:pPr>
      <w:r>
        <w:t xml:space="preserve">Since any transitions that were unobserved but occurred would appear as fish moving to the absorbing loss category, this term was also adjuted accordingly:</w:t>
      </w:r>
    </w:p>
    <w:p>
      <w:pPr>
        <w:pStyle w:val="BodyText"/>
      </w:pPr>
      <m:oMathPara>
        <m:oMathParaPr>
          <m:jc m:val="center"/>
        </m:oMathParaPr>
        <m:oMath>
          <m:sSub>
            <m:e>
              <m:r>
                <m:t>p</m:t>
              </m:r>
            </m:e>
            <m:sub>
              <m:r>
                <m:t>o</m:t>
              </m:r>
              <m:r>
                <m:t>b</m:t>
              </m:r>
              <m:r>
                <m:t>s</m:t>
              </m:r>
              <m:r>
                <m:rPr>
                  <m:sty m:val="p"/>
                </m:rPr>
                <m:t>,</m:t>
              </m:r>
              <m:r>
                <m:t>l</m:t>
              </m:r>
              <m:r>
                <m:t>o</m:t>
              </m:r>
              <m:r>
                <m:t>s</m:t>
              </m:r>
              <m:r>
                <m:t>s</m:t>
              </m:r>
            </m:sub>
          </m:sSub>
          <m:r>
            <m:rPr>
              <m:sty m:val="p"/>
            </m:rPr>
            <m:t>=</m:t>
          </m:r>
          <m:sSub>
            <m:e>
              <m:r>
                <m:t>p</m:t>
              </m:r>
            </m:e>
            <m:sub>
              <m:r>
                <m:t>a</m:t>
              </m:r>
              <m:r>
                <m:t>c</m:t>
              </m:r>
              <m:r>
                <m:t>t</m:t>
              </m:r>
              <m:r>
                <m:t>u</m:t>
              </m:r>
              <m:r>
                <m:t>a</m:t>
              </m:r>
              <m:r>
                <m:t>l</m:t>
              </m:r>
              <m:r>
                <m:rPr>
                  <m:sty m:val="p"/>
                </m:rPr>
                <m:t>,</m:t>
              </m:r>
              <m:r>
                <m:t>l</m:t>
              </m:r>
              <m:r>
                <m:t>o</m:t>
              </m:r>
              <m:r>
                <m:t>s</m:t>
              </m:r>
              <m:r>
                <m:t>s</m:t>
              </m:r>
            </m:sub>
          </m:sSub>
          <m:r>
            <m:rPr>
              <m:sty m:val="p"/>
            </m:rPr>
            <m:t>+</m:t>
          </m:r>
          <m:sSub>
            <m:e>
              <m:r>
                <m:t>p</m:t>
              </m:r>
            </m:e>
            <m:sub>
              <m:r>
                <m:t>a</m:t>
              </m:r>
              <m:r>
                <m:t>c</m:t>
              </m:r>
              <m:r>
                <m:t>t</m:t>
              </m:r>
              <m:r>
                <m:t>u</m:t>
              </m:r>
              <m:r>
                <m:t>a</m:t>
              </m:r>
              <m:r>
                <m:t>l</m:t>
              </m:r>
              <m:r>
                <m:rPr>
                  <m:sty m:val="p"/>
                </m:rPr>
                <m:t>,</m:t>
              </m:r>
              <m:r>
                <m:t>j</m:t>
              </m:r>
            </m:sub>
          </m:sSub>
          <m:r>
            <m:rPr>
              <m:sty m:val="p"/>
            </m:rPr>
            <m:t>*</m:t>
          </m:r>
          <m:d>
            <m:dPr>
              <m:begChr m:val="("/>
              <m:endChr m:val=")"/>
              <m:sepChr m:val=""/>
              <m:grow/>
            </m:dPr>
            <m:e>
              <m:r>
                <m:t>1</m:t>
              </m:r>
              <m:r>
                <m:rPr>
                  <m:sty m:val="p"/>
                </m:rPr>
                <m:t>−</m:t>
              </m:r>
              <m:sSub>
                <m:e>
                  <m:r>
                    <m:t>p</m:t>
                  </m:r>
                </m:e>
                <m:sub>
                  <m:r>
                    <m:t>d</m:t>
                  </m:r>
                  <m:r>
                    <m:t>e</m:t>
                  </m:r>
                  <m:r>
                    <m:t>t</m:t>
                  </m:r>
                  <m:r>
                    <m:t>e</m:t>
                  </m:r>
                  <m:r>
                    <m:t>c</m:t>
                  </m:r>
                  <m:r>
                    <m:t>t</m:t>
                  </m:r>
                  <m:r>
                    <m:t>i</m:t>
                  </m:r>
                  <m:r>
                    <m:t>o</m:t>
                  </m:r>
                  <m:r>
                    <m:t>n</m:t>
                  </m:r>
                  <m:r>
                    <m:rPr>
                      <m:sty m:val="p"/>
                    </m:rPr>
                    <m:t>,</m:t>
                  </m:r>
                  <m:r>
                    <m:t>j</m:t>
                  </m:r>
                  <m:r>
                    <m:rPr>
                      <m:sty m:val="p"/>
                    </m:rPr>
                    <m:t>,</m:t>
                  </m:r>
                  <m:r>
                    <m:t>t</m:t>
                  </m:r>
                </m:sub>
              </m:sSub>
            </m:e>
          </m:d>
        </m:oMath>
      </m:oMathPara>
    </w:p>
    <w:p>
      <w:pPr>
        <w:pStyle w:val="FirstParagraph"/>
      </w:pPr>
      <w:r>
        <w:t xml:space="preserve">With the vector of observed transition probabilities generated, the transition is evaluated as follows:</w:t>
      </w:r>
    </w:p>
    <w:p>
      <w:pPr>
        <w:pStyle w:val="BodyText"/>
      </w:pPr>
      <m:oMathPara>
        <m:oMathParaPr>
          <m:jc m:val="center"/>
        </m:oMathParaPr>
        <m:oMath>
          <m:sSub>
            <m:e>
              <m:r>
                <m:t>z</m:t>
              </m:r>
            </m:e>
            <m:sub>
              <m:r>
                <m:t>t</m:t>
              </m:r>
              <m:r>
                <m:rPr>
                  <m:sty m:val="p"/>
                </m:rPr>
                <m:t>+</m:t>
              </m:r>
              <m:r>
                <m:t>1</m:t>
              </m:r>
            </m:sub>
          </m:sSub>
          <m:r>
            <m:rPr>
              <m:sty m:val="p"/>
            </m:rPr>
            <m:t>∼</m:t>
          </m:r>
          <m:r>
            <m:rPr>
              <m:nor/>
              <m:sty m:val="p"/>
            </m:rPr>
            <m:t>categorical</m:t>
          </m:r>
          <m:d>
            <m:dPr>
              <m:begChr m:val="("/>
              <m:endChr m:val=")"/>
              <m:sepChr m:val=""/>
              <m:grow/>
            </m:dPr>
            <m:e>
              <m:sSub>
                <m:e>
                  <m:r>
                    <m:t>p</m:t>
                  </m:r>
                </m:e>
                <m:sub>
                  <m:r>
                    <m:t>o</m:t>
                  </m:r>
                  <m:r>
                    <m:t>b</m:t>
                  </m:r>
                  <m:r>
                    <m:t>s</m:t>
                  </m:r>
                  <m:r>
                    <m:rPr>
                      <m:sty m:val="p"/>
                    </m:rPr>
                    <m:t>,</m:t>
                  </m:r>
                  <m:r>
                    <m:t>1</m:t>
                  </m:r>
                </m:sub>
              </m:sSub>
              <m:r>
                <m:rPr>
                  <m:sty m:val="p"/>
                </m:rPr>
                <m:t>,</m:t>
              </m:r>
              <m:sSub>
                <m:e>
                  <m:r>
                    <m:t>p</m:t>
                  </m:r>
                </m:e>
                <m:sub>
                  <m:r>
                    <m:t>o</m:t>
                  </m:r>
                  <m:r>
                    <m:t>b</m:t>
                  </m:r>
                  <m:r>
                    <m:t>s</m:t>
                  </m:r>
                  <m:r>
                    <m:rPr>
                      <m:sty m:val="p"/>
                    </m:rPr>
                    <m:t>,</m:t>
                  </m:r>
                  <m:r>
                    <m:t>2</m:t>
                  </m:r>
                </m:sub>
              </m:sSub>
              <m:r>
                <m:rPr>
                  <m:sty m:val="p"/>
                </m:rPr>
                <m:t>,</m:t>
              </m:r>
              <m:sSub>
                <m:e>
                  <m:r>
                    <m:t>p</m:t>
                  </m:r>
                </m:e>
                <m:sub>
                  <m:r>
                    <m:t>o</m:t>
                  </m:r>
                  <m:r>
                    <m:t>b</m:t>
                  </m:r>
                  <m:r>
                    <m:t>s</m:t>
                  </m:r>
                  <m:r>
                    <m:rPr>
                      <m:sty m:val="p"/>
                    </m:rPr>
                    <m:t>,</m:t>
                  </m:r>
                  <m:r>
                    <m:t>3</m:t>
                  </m:r>
                </m:sub>
              </m:sSub>
              <m:r>
                <m:rPr>
                  <m:sty m:val="p"/>
                </m:rPr>
                <m:t>.</m:t>
              </m:r>
              <m:r>
                <m:rPr>
                  <m:sty m:val="p"/>
                </m:rPr>
                <m:t>.</m:t>
              </m:r>
              <m:r>
                <m:rPr>
                  <m:sty m:val="p"/>
                </m:rPr>
                <m:t>.</m:t>
              </m:r>
              <m:sSub>
                <m:e>
                  <m:r>
                    <m:t>p</m:t>
                  </m:r>
                </m:e>
                <m:sub>
                  <m:r>
                    <m:t>o</m:t>
                  </m:r>
                  <m:r>
                    <m:t>b</m:t>
                  </m:r>
                  <m:r>
                    <m:t>s</m:t>
                  </m:r>
                  <m:r>
                    <m:rPr>
                      <m:sty m:val="p"/>
                    </m:rPr>
                    <m:t>,</m:t>
                  </m:r>
                  <m:r>
                    <m:t>n</m:t>
                  </m:r>
                </m:sub>
              </m:sSub>
            </m:e>
          </m:d>
        </m:oMath>
      </m:oMathPara>
    </w:p>
    <w:p>
      <w:pPr>
        <w:pStyle w:val="FirstParagraph"/>
      </w:pPr>
    </w:p>
    <w:p>
      <w:pPr>
        <w:pStyle w:val="BodyText"/>
      </w:pPr>
      <w:r>
        <w:t xml:space="preserve">In these equations,</w:t>
      </w:r>
      <w:r>
        <w:t xml:space="preserve"> </w:t>
      </w:r>
      <m:oMath>
        <m:sSub>
          <m:e>
            <m:r>
              <m:t>p</m:t>
            </m:r>
          </m:e>
          <m:sub>
            <m:r>
              <m:t>d</m:t>
            </m:r>
            <m:r>
              <m:t>e</m:t>
            </m:r>
            <m:r>
              <m:t>t</m:t>
            </m:r>
            <m:r>
              <m:t>e</m:t>
            </m:r>
            <m:r>
              <m:t>c</m:t>
            </m:r>
            <m:r>
              <m:t>t</m:t>
            </m:r>
            <m:r>
              <m:t>i</m:t>
            </m:r>
            <m:r>
              <m:t>o</m:t>
            </m:r>
            <m:r>
              <m:t>n</m:t>
            </m:r>
          </m:sub>
        </m:sSub>
      </m:oMath>
      <w:r>
        <w:t xml:space="preserve"> </w:t>
      </w:r>
      <w:r>
        <w:t xml:space="preserve">is the probability of detection,</w:t>
      </w:r>
      <w:r>
        <w:t xml:space="preserve"> </w:t>
      </w:r>
      <m:oMath>
        <m:sSub>
          <m:e>
            <m:r>
              <m:t>p</m:t>
            </m:r>
          </m:e>
          <m:sub>
            <m:r>
              <m:t>a</m:t>
            </m:r>
            <m:r>
              <m:t>c</m:t>
            </m:r>
            <m:r>
              <m:t>t</m:t>
            </m:r>
            <m:r>
              <m:t>u</m:t>
            </m:r>
            <m:r>
              <m:t>a</m:t>
            </m:r>
            <m:r>
              <m:t>l</m:t>
            </m:r>
          </m:sub>
        </m:sSub>
      </m:oMath>
      <w:r>
        <w:t xml:space="preserve"> </w:t>
      </w:r>
      <w:r>
        <w:t xml:space="preserve">is the vector which contains the true movement probabilities,</w:t>
      </w:r>
      <w:r>
        <w:t xml:space="preserve"> </w:t>
      </w:r>
      <m:oMath>
        <m:sSub>
          <m:e>
            <m:r>
              <m:t>p</m:t>
            </m:r>
          </m:e>
          <m:sub>
            <m:r>
              <m:t>o</m:t>
            </m:r>
            <m:r>
              <m:t>b</m:t>
            </m:r>
            <m:r>
              <m:t>s</m:t>
            </m:r>
          </m:sub>
        </m:sSub>
      </m:oMath>
      <w:r>
        <w:t xml:space="preserve"> </w:t>
      </w:r>
      <w:r>
        <w:t xml:space="preserve">is the vector which contains the observed movement probabilities,</w:t>
      </w:r>
      <w:r>
        <w:t xml:space="preserve"> </w:t>
      </w:r>
      <m:oMath>
        <m:r>
          <m:t>α</m:t>
        </m:r>
      </m:oMath>
      <w:r>
        <w:t xml:space="preserve"> </w:t>
      </w:r>
      <w:r>
        <w:t xml:space="preserve">is the categorical covariate for site configuration,</w:t>
      </w:r>
      <w:r>
        <w:t xml:space="preserve"> </w:t>
      </w:r>
      <m:oMath>
        <m:r>
          <m:t>β</m:t>
        </m:r>
      </m:oMath>
      <w:r>
        <w:t xml:space="preserve"> </w:t>
      </w:r>
      <w:r>
        <w:t xml:space="preserve">is the slope for the effect of discharge on the probability of detection efficiency, and</w:t>
      </w:r>
      <w:r>
        <w:t xml:space="preserve"> </w:t>
      </w:r>
      <m:oMath>
        <m:r>
          <m:t>z</m:t>
        </m:r>
      </m:oMath>
      <w:r>
        <w:t xml:space="preserve"> </w:t>
      </w:r>
      <w:r>
        <w:t xml:space="preserve">is the next observation of the fish. The indices represent the following:</w:t>
      </w:r>
    </w:p>
    <w:p>
      <w:pPr>
        <w:numPr>
          <w:ilvl w:val="0"/>
          <w:numId w:val="1002"/>
        </w:numPr>
        <w:pStyle w:val="Compact"/>
      </w:pPr>
      <m:oMath>
        <m:r>
          <m:t>j</m:t>
        </m:r>
      </m:oMath>
      <w:r>
        <w:t xml:space="preserve"> </w:t>
      </w:r>
      <w:r>
        <w:t xml:space="preserve">is the tributary</w:t>
      </w:r>
    </w:p>
    <w:p>
      <w:pPr>
        <w:numPr>
          <w:ilvl w:val="0"/>
          <w:numId w:val="1002"/>
        </w:numPr>
        <w:pStyle w:val="Compact"/>
      </w:pPr>
      <m:oMath>
        <m:r>
          <m:t>k</m:t>
        </m:r>
      </m:oMath>
      <w:r>
        <w:t xml:space="preserve"> </w:t>
      </w:r>
      <w:r>
        <w:t xml:space="preserve">is the site configuration (a categorical variable)</w:t>
      </w:r>
    </w:p>
    <w:p>
      <w:pPr>
        <w:numPr>
          <w:ilvl w:val="0"/>
          <w:numId w:val="1002"/>
        </w:numPr>
        <w:pStyle w:val="Compact"/>
      </w:pPr>
      <m:oMath>
        <m:r>
          <m:t>t</m:t>
        </m:r>
      </m:oMath>
      <w:r>
        <w:t xml:space="preserve"> </w:t>
      </w:r>
      <w:r>
        <w:t xml:space="preserve">is the run year</w:t>
      </w:r>
    </w:p>
    <w:bookmarkEnd w:id="39"/>
    <w:bookmarkStart w:id="42" w:name="derived-model-probabilities"/>
    <w:p>
      <w:pPr>
        <w:pStyle w:val="Heading3"/>
      </w:pPr>
      <w:r>
        <w:t xml:space="preserve">Derived model probabilities</w:t>
      </w:r>
    </w:p>
    <w:bookmarkStart w:id="40" w:name="X4c91d1ad468ba7167eeb22161b77cedeecd8cc0"/>
    <w:p>
      <w:pPr>
        <w:pStyle w:val="Heading4"/>
      </w:pPr>
      <w:r>
        <w:t xml:space="preserve">Final population distribution (final fates)</w:t>
      </w:r>
    </w:p>
    <w:p>
      <w:pPr>
        <w:pStyle w:val="FirstParagraph"/>
      </w:pPr>
      <w:r>
        <w:t xml:space="preserve">From the movement probabilities estimated by the model, we estimated the probability of fish ending in each state in the model. This was done via a simulation approach, where for each natal origin, one million fish of that origin started in the state directly upstream of Bonneville Dam. The simulation then ran forward in time, selecting the next state of each fish based on the model-derived probabilities of movement, until each fish entered the loss state. The state directly prior to the loss state was recorded as the</w:t>
      </w:r>
      <w:r>
        <w:t xml:space="preserve"> </w:t>
      </w:r>
      <w:r>
        <w:t xml:space="preserve">“</w:t>
      </w:r>
      <w:r>
        <w:t xml:space="preserve">final fate</w:t>
      </w:r>
      <w:r>
        <w:t xml:space="preserve">”</w:t>
      </w:r>
      <w:r>
        <w:t xml:space="preserve"> </w:t>
      </w:r>
      <w:r>
        <w:t xml:space="preserve">of the fish, and the proportion of fish that ended in each state was calculated. Credible intervals were generated for these final fates by re-running the simulation with each of the MCMC draws for each parameter, with the 2.5th and 97.5th quantiles of the final fates presented.</w:t>
      </w:r>
    </w:p>
    <w:bookmarkEnd w:id="40"/>
    <w:bookmarkStart w:id="41" w:name="X91986d7fc66cd91ab315300f150a49cfb22853e"/>
    <w:p>
      <w:pPr>
        <w:pStyle w:val="Heading4"/>
      </w:pPr>
      <w:r>
        <w:t xml:space="preserve">Homing probabilities, conditional on overshoot</w:t>
      </w:r>
    </w:p>
    <w:p>
      <w:pPr>
        <w:pStyle w:val="FirstParagraph"/>
      </w:pPr>
      <w:r>
        <w:t xml:space="preserve">To assess the effect of overshooting on overall success, as defined by the final fate of a fish being its natal tributary, the simulation approach outlined above was similarly implemented, but with a different starting state. The probability of homing was compared for fish which started in the state that connected to the home tributary and for fish which started in the first overshoot state. The probability of ending up in the home tributary was then estimated in each of these simulations and compared to estimate the effect of overshooting on homing ability.</w:t>
      </w:r>
    </w:p>
    <w:bookmarkEnd w:id="41"/>
    <w:bookmarkEnd w:id="42"/>
    <w:bookmarkEnd w:id="43"/>
    <w:bookmarkEnd w:id="44"/>
    <w:bookmarkStart w:id="104" w:name="results"/>
    <w:p>
      <w:pPr>
        <w:pStyle w:val="Heading1"/>
      </w:pPr>
      <w:r>
        <w:t xml:space="preserve">Results</w:t>
      </w:r>
    </w:p>
    <w:bookmarkStart w:id="49" w:name="summary-statistics"/>
    <w:p>
      <w:pPr>
        <w:pStyle w:val="Heading2"/>
      </w:pPr>
      <w:r>
        <w:t xml:space="preserve">Summary statistics</w:t>
      </w:r>
    </w:p>
    <w:bookmarkStart w:id="45" w:name="sample-sizes"/>
    <w:p>
      <w:pPr>
        <w:pStyle w:val="Heading3"/>
      </w:pPr>
      <w:r>
        <w:t xml:space="preserve">Sample sizes</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natal origin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trPr>
          <w:cantSplit/>
          <w:trHeight w:val="56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21/22</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104</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155</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246</w:t>
            </w:r>
          </w:p>
        </w:tc>
      </w:tr>
      <w:tr>
        <w:trPr>
          <w:cantSplit/>
          <w:trHeight w:val="544"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163</w:t>
            </w:r>
          </w:p>
        </w:tc>
      </w:tr>
    </w:tbl>
    <w:p>
      <w:pPr>
        <w:pStyle w:val="BodyText"/>
      </w:pPr>
    </w:p>
    <w:p>
      <w:pPr>
        <w:pStyle w:val="BodyText"/>
      </w:pPr>
      <w:r>
        <w:t xml:space="preserve">A total of 61220 were in our dataset, distributed across 17 run years. The three natal origins with the most fish were the Salmon River, the Methow River, and the Grande Ronde River.</w:t>
      </w:r>
    </w:p>
    <w:bookmarkEnd w:id="45"/>
    <w:bookmarkStart w:id="46" w:name="out-of-esu-movement"/>
    <w:p>
      <w:pPr>
        <w:pStyle w:val="Heading3"/>
      </w:pPr>
      <w:r>
        <w:t xml:space="preserve">Out-of-ESU movement</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seen in reaches of the Colubmia or Snake outside of the ESU boundaries that are not necessary for homing. For Middle Columbia Steelhead, this is defined as reaches upstream of Priest Rapids Dam on the Upper Columbia River or upstream of Ice Harbor Dam on the Snake River; for Upper Columbia Steelhead, this is defined as reaches upstream of Ice Harbor Dam on the Snake River, and for Snake River Basin Steelhead, this is defined as reaches upstream of Priest Rapids Dam on the Upper Columbia River.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70"/>
        <w:gridCol w:w="515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Proportion</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0.013 (N = 6)</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0.0019 (N = 2)</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0.15 (N = 429)</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0.086 (N = 154)</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0.53 (N = 1572)</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0.15 (N = 97)</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0.00021 (N = 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0.00063 (N = 5)</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0.00084 (N = 1)</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0.018 (N = 65)</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0.0035 (N = 23)</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0.034 (N = 19)</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 (N = 72)</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0.016 (N = 175)</w:t>
            </w:r>
          </w:p>
        </w:tc>
      </w:tr>
      <w:tr>
        <w:trPr>
          <w:cantSplit/>
          <w:trHeight w:val="57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0.021 (N = 106)</w:t>
            </w:r>
          </w:p>
        </w:tc>
      </w:tr>
    </w:tbl>
    <w:p>
      <w:pPr>
        <w:pStyle w:val="BodyText"/>
      </w:pPr>
    </w:p>
    <w:p>
      <w:pPr>
        <w:pStyle w:val="BodyText"/>
      </w:pPr>
      <w:r>
        <w:t xml:space="preserve">Snake River Basin Steelhead were generally more often seen in the Upper Columbia (upstream of Priest Rapids Dam) than Upper Columbia Steelhead were seen in the Snake River (upstream of Ice Harbor Dam). Middle Columbia Steelhead, especially Walla Walla River Steelhead, were seen in either the Snake River or the Upper Columbia very frequently; these fish were individuals that overshot their home tributary.</w:t>
      </w:r>
    </w:p>
    <w:bookmarkEnd w:id="46"/>
    <w:bookmarkStart w:id="47" w:name="overshoot-by-dam"/>
    <w:p>
      <w:pPr>
        <w:pStyle w:val="Heading3"/>
      </w:pPr>
      <w:r>
        <w:t xml:space="preserve">Overshoot by dam</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overshooting each dam.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37"/>
        <w:gridCol w:w="1398"/>
        <w:gridCol w:w="1398"/>
        <w:gridCol w:w="1398"/>
        <w:gridCol w:w="1398"/>
        <w:gridCol w:w="1398"/>
        <w:gridCol w:w="1398"/>
        <w:gridCol w:w="1398"/>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0.072 (N = 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0.0042 (N = 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0.0019 (N = 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(N = 1546)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(N = 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0.0021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0.00035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0.00035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(N = 407)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0.067 (N = 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(N = 715)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0.0084 (N = 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0.0033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(N = 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0.00056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(N = 143)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(N = 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62)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(N = 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(N = 1548)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(N = 619)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(N = 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(N = 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(N = 2273)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(N = 1528)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0.00021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0.00021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(N = 174)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0.00063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 (N = 4)</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0.00084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0.00084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(N = 63)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(N = 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(N = 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(N = 1566)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0.0035 (N = 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0.0021 (N = 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(N = 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(N = 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0.0049 (N = 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(N = 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0.0028 (N = 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175)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113)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0.0081 (N = 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0.0064 (N = 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(N = 105)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(N = 38)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0.0057 (N = 29)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bl>
    <w:p>
      <w:pPr>
        <w:pStyle w:val="BodyText"/>
      </w:pPr>
    </w:p>
    <w:p>
      <w:pPr>
        <w:pStyle w:val="BodyText"/>
      </w:pPr>
      <w:r>
        <w:t xml:space="preserve">Overshooting was most frequently observed in John Day River Steelhead (55% overshooting rate at McNary Dam), Umatilla River Steelhead (40% overshooting rate at McNary Dam), Wenatchee River Steelhead (47% overshooting rate at Rocky Reach Dam), Entiat River Steelhead (35% overshooting rate at Wells Dam), and Walla Walla River Steelhead (52% overshooting rate at Ice Harbor Dam). Two populations were observed to overshoot at least two dams at greater than a 20% rate: Walla Walla River Steelhead (Ice Harbor Dam and Lower Granite Dam) and Wenatchee River Steelhead (Rocky Reach Dam and Wells Dam). Middle Columbia Steelhead tended to overshoot at Ice Harbor Dam more frequently than at Priest Rapids Dam, with the exception of Yakima River Steelhead, which can be explained by the Yakima River confluence with the Columbia River being upstream of the confluence of the Columbia and Snake Rivers.</w:t>
      </w:r>
    </w:p>
    <w:bookmarkEnd w:id="47"/>
    <w:bookmarkStart w:id="48" w:name="fallback-by-dam"/>
    <w:p>
      <w:pPr>
        <w:pStyle w:val="Heading3"/>
      </w:pPr>
      <w:r>
        <w:t xml:space="preserve">Fallback by dam</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falling back at each dam. Highlighted cells are post-overshoot fallback, whereas non-highlighted cells are en-route fallback.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9"/>
        <w:gridCol w:w="1246"/>
        <w:gridCol w:w="1246"/>
        <w:gridCol w:w="1246"/>
        <w:gridCol w:w="1246"/>
        <w:gridCol w:w="1246"/>
        <w:gridCol w:w="1246"/>
        <w:gridCol w:w="1246"/>
        <w:gridCol w:w="124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0.075 (N = 227)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0.00067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0.042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0.0042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0.0021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0.0019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0.00096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0.0019 (N = 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(N = 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 (N = 853)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0.0046 (N = 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0.00071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0.044 (N = 124)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0.015 (N = 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(N = 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(N = 379)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0.005 (N = 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0.0011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0.0017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0.00056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0.03 (N = 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0.017 (N = 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(N = 127)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0.014 (N = 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0.006 (N = 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0.0023 (N = 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0.0023 (N = 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0.15 (N = 444)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0.088 (N = 262)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0.087 (N = 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0.021 (N = 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0.0075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0.003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0.018 (N = 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0.0045 (N = 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0.0072 (N = 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(N = 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0.12 (N = 577)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0.064 (N = 313)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0.00021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 (N = 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(N = 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(N = 129)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0.0094 (N = 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0.0076 (N = 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0.0086 (N = 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0.0054 (N = 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(N = 33)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(N = 143)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0.00013 (N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0.00013 (N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0.0084 (N = 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0.0067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0.0025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0.00084 (N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(N = 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(N =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0.0099 (N = 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0.0034 (N = 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0.0017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0.0014 (N = 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(N = 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(N = 669)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0.022 (N = 149)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0.0023 (N = 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0.0012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0.0003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0.00045 (N =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0.0074 (N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(N = 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0.023 (N = 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0.014 (N = 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0.011 (N = 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0.0035 (N =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0.025 (N = 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(N = 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119)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(N = 109)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0.0071 (N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0.0023 (N = 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0.0016 (N = 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 (N = 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(N = 92)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(N = 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(N = 212)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0.036 (N = 396)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0.0085 (N = 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0.0042 (N = 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0.0021 (N = 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0.0019 (N = 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(N = 163)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(N = 156)</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0.022 (N = 109)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(N = 153)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0.014 (N = 70)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0.0059 (N = 30)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0.003 (N = 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0.0022 (N = 11)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(N = 131)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(N = 84)</w:t>
            </w:r>
          </w:p>
        </w:tc>
      </w:tr>
    </w:tbl>
    <w:p>
      <w:pPr>
        <w:pStyle w:val="BodyText"/>
      </w:pPr>
    </w:p>
    <w:p>
      <w:pPr>
        <w:pStyle w:val="BodyText"/>
      </w:pPr>
      <w:r>
        <w:t xml:space="preserve">Fallback at dams was not observed directly, but rather was inferred by the remainder of the detection history. Due to detection efficiency in fallback routes being less than one, but also not estimable, these are lower bound estimates of fallback. Many natal origins had high proportions of individuals falling back over at least one dam. More than 20% of John Day River Steelhead, Umatilla River Steelhead, and Entiat River Steelhead, had at least one known fallback event. By dam, McNary Dam had the highest number of fish observed to fall back over it (2,480), followed by Lower Granite Dam (1,440), Ice Harbor Dam (1,184), and Bonneville Dam (1,148).</w:t>
      </w:r>
    </w:p>
    <w:bookmarkEnd w:id="48"/>
    <w:bookmarkEnd w:id="49"/>
    <w:bookmarkStart w:id="101" w:name="Xccd18bb046aac72cc23febec465c0636059e370"/>
    <w:p>
      <w:pPr>
        <w:pStyle w:val="Heading2"/>
      </w:pPr>
      <w:r>
        <w:t xml:space="preserve">Final population distribution probability</w:t>
      </w:r>
    </w:p>
    <w:bookmarkStart w:id="68" w:name="middle-columbia-river-steelhead"/>
    <w:p>
      <w:pPr>
        <w:pStyle w:val="Heading3"/>
      </w:pPr>
      <w:r>
        <w:t xml:space="preserve">Middle Columbia River Steelhead</w:t>
      </w:r>
    </w:p>
    <w:p>
      <w:pPr>
        <w:pStyle w:val="FirstParagraph"/>
      </w:pPr>
      <w:r>
        <w:t xml:space="preserve">Yakima River, Umatilla River, and Deschutes River Steelhead each had median homing probabilities of over 0.5, with Yakima River Steelhead having the highest homing probability of any of the six Middle Columbia Steelhead tributaries, with a median homing probability of 0.77. On the contrary, Fifteenmile Creek, John Day River, and Walla Walla River Steelhead all had median homing probabilities below 0.4. Fifteenmile Creek Steelhead actually had a higher median probability of ending up in the Deschutes River (0.44) than in Fifteenmile Creek (0.27).</w:t>
      </w:r>
    </w:p>
    <w:p>
      <w:pPr>
        <w:pStyle w:val="BodyText"/>
      </w:pPr>
    </w:p>
    <w:p>
      <w:pPr>
        <w:pStyle w:val="CaptionedFigure"/>
      </w:pPr>
      <w:r>
        <w:drawing>
          <wp:inline>
            <wp:extent cx="6858000" cy="5486400"/>
            <wp:effectExtent b="0" l="0" r="0" t="0"/>
            <wp:docPr descr="Figure 4. Fifteenmile Creek Final Fate Probabilities." title="" id="51" name="Picture"/>
            <a:graphic>
              <a:graphicData uri="http://schemas.openxmlformats.org/drawingml/2006/picture">
                <pic:pic>
                  <pic:nvPicPr>
                    <pic:cNvPr descr=".//figures/final_fates_plots/fifteenmile_fates_plot.pdf" id="52" name="Picture"/>
                    <pic:cNvPicPr>
                      <a:picLocks noChangeArrowheads="1" noChangeAspect="1"/>
                    </pic:cNvPicPr>
                  </pic:nvPicPr>
                  <pic:blipFill>
                    <a:blip r:embed="rId50"/>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4. Fifteenmile Creek Final Fate Probabilities.</w:t>
      </w:r>
    </w:p>
    <w:p>
      <w:pPr>
        <w:pStyle w:val="CaptionedFigure"/>
      </w:pPr>
      <w:r>
        <w:drawing>
          <wp:inline>
            <wp:extent cx="6858000" cy="5486400"/>
            <wp:effectExtent b="0" l="0" r="0" t="0"/>
            <wp:docPr descr="Figure 5. Deschutes River Final Fate Probabilities." title="" id="54" name="Picture"/>
            <a:graphic>
              <a:graphicData uri="http://schemas.openxmlformats.org/drawingml/2006/picture">
                <pic:pic>
                  <pic:nvPicPr>
                    <pic:cNvPr descr=".//figures/final_fates_plots/deschutes_fates_plot.pdf" id="55" name="Picture"/>
                    <pic:cNvPicPr>
                      <a:picLocks noChangeArrowheads="1" noChangeAspect="1"/>
                    </pic:cNvPicPr>
                  </pic:nvPicPr>
                  <pic:blipFill>
                    <a:blip r:embed="rId53"/>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5. Deschutes River Final Fate Probabilities.</w:t>
      </w:r>
    </w:p>
    <w:p>
      <w:pPr>
        <w:pStyle w:val="CaptionedFigure"/>
      </w:pPr>
      <w:r>
        <w:drawing>
          <wp:inline>
            <wp:extent cx="6858000" cy="5486400"/>
            <wp:effectExtent b="0" l="0" r="0" t="0"/>
            <wp:docPr descr="Figure 6. John Day River Final Fate Probabilities." title="" id="57" name="Picture"/>
            <a:graphic>
              <a:graphicData uri="http://schemas.openxmlformats.org/drawingml/2006/picture">
                <pic:pic>
                  <pic:nvPicPr>
                    <pic:cNvPr descr=".//figures/final_fates_plots/john_day_fates_plot.pdf" id="58" name="Picture"/>
                    <pic:cNvPicPr>
                      <a:picLocks noChangeArrowheads="1" noChangeAspect="1"/>
                    </pic:cNvPicPr>
                  </pic:nvPicPr>
                  <pic:blipFill>
                    <a:blip r:embed="rId56"/>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6. John Day River Final Fate Probabilities.</w:t>
      </w:r>
    </w:p>
    <w:p>
      <w:pPr>
        <w:pStyle w:val="CaptionedFigure"/>
      </w:pPr>
      <w:r>
        <w:drawing>
          <wp:inline>
            <wp:extent cx="6858000" cy="5486400"/>
            <wp:effectExtent b="0" l="0" r="0" t="0"/>
            <wp:docPr descr="Figure 7. Umatilla River Final Fate Probabilities." title="" id="60" name="Picture"/>
            <a:graphic>
              <a:graphicData uri="http://schemas.openxmlformats.org/drawingml/2006/picture">
                <pic:pic>
                  <pic:nvPicPr>
                    <pic:cNvPr descr=".//figures/final_fates_plots/umatilla_fates_plot.pdf" id="61" name="Picture"/>
                    <pic:cNvPicPr>
                      <a:picLocks noChangeArrowheads="1" noChangeAspect="1"/>
                    </pic:cNvPicPr>
                  </pic:nvPicPr>
                  <pic:blipFill>
                    <a:blip r:embed="rId59"/>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7. Umatilla River Final Fate Probabilities.</w:t>
      </w:r>
    </w:p>
    <w:p>
      <w:pPr>
        <w:pStyle w:val="CaptionedFigure"/>
      </w:pPr>
      <w:r>
        <w:drawing>
          <wp:inline>
            <wp:extent cx="6858000" cy="5486400"/>
            <wp:effectExtent b="0" l="0" r="0" t="0"/>
            <wp:docPr descr="Figure 8. Walla Walla River Final Fate Probabilities." title="" id="63" name="Picture"/>
            <a:graphic>
              <a:graphicData uri="http://schemas.openxmlformats.org/drawingml/2006/picture">
                <pic:pic>
                  <pic:nvPicPr>
                    <pic:cNvPr descr=".//figures/final_fates_plots/walla_walla_fates_plot.pdf" id="64" name="Picture"/>
                    <pic:cNvPicPr>
                      <a:picLocks noChangeArrowheads="1" noChangeAspect="1"/>
                    </pic:cNvPicPr>
                  </pic:nvPicPr>
                  <pic:blipFill>
                    <a:blip r:embed="rId62"/>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8. Walla Walla River Final Fate Probabilities.</w:t>
      </w:r>
    </w:p>
    <w:p>
      <w:pPr>
        <w:pStyle w:val="CaptionedFigure"/>
      </w:pPr>
      <w:r>
        <w:drawing>
          <wp:inline>
            <wp:extent cx="6858000" cy="5486400"/>
            <wp:effectExtent b="0" l="0" r="0" t="0"/>
            <wp:docPr descr="Figure 9. Yakima River Final Fate Probabilities." title="" id="66" name="Picture"/>
            <a:graphic>
              <a:graphicData uri="http://schemas.openxmlformats.org/drawingml/2006/picture">
                <pic:pic>
                  <pic:nvPicPr>
                    <pic:cNvPr descr=".//figures/final_fates_plots/yakima_fates_plot.pdf" id="67" name="Picture"/>
                    <pic:cNvPicPr>
                      <a:picLocks noChangeArrowheads="1" noChangeAspect="1"/>
                    </pic:cNvPicPr>
                  </pic:nvPicPr>
                  <pic:blipFill>
                    <a:blip r:embed="rId65"/>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9. Yakima River Final Fate Probabilities.</w:t>
      </w:r>
    </w:p>
    <w:bookmarkEnd w:id="68"/>
    <w:bookmarkStart w:id="81" w:name="upper-columbia-river-steelhead"/>
    <w:p>
      <w:pPr>
        <w:pStyle w:val="Heading3"/>
      </w:pPr>
      <w:r>
        <w:t xml:space="preserve">Upper Columbia River Steelhead</w:t>
      </w:r>
    </w:p>
    <w:p>
      <w:pPr>
        <w:pStyle w:val="FirstParagraph"/>
      </w:pPr>
      <w:r>
        <w:t xml:space="preserve">Wenatchee River Steelhead only had a roughly 1/3 probability of homing successfully, whereas the other three origins had median homing probabilities between 0.4 and 0.6. There was a 0.03 - 0.04 median probability of straying to the Methow River for the other three origins, whereas Methow River Steelhead had a 0.05 probability of straying to the Okanogan River. The probability of straying to any other tributary was nearly zero, except for the Deschutes River, which had a probability around 0.01.</w:t>
      </w:r>
    </w:p>
    <w:p>
      <w:pPr>
        <w:pStyle w:val="BodyText"/>
      </w:pPr>
    </w:p>
    <w:p>
      <w:pPr>
        <w:pStyle w:val="CaptionedFigure"/>
      </w:pPr>
      <w:r>
        <w:drawing>
          <wp:inline>
            <wp:extent cx="6858000" cy="5486400"/>
            <wp:effectExtent b="0" l="0" r="0" t="0"/>
            <wp:docPr descr="Figure 10. Wenatchee River Final Fate Probabilities." title="" id="70" name="Picture"/>
            <a:graphic>
              <a:graphicData uri="http://schemas.openxmlformats.org/drawingml/2006/picture">
                <pic:pic>
                  <pic:nvPicPr>
                    <pic:cNvPr descr=".//figures/final_fates_plots/wenatchee_fates_plot.pdf" id="71" name="Picture"/>
                    <pic:cNvPicPr>
                      <a:picLocks noChangeArrowheads="1" noChangeAspect="1"/>
                    </pic:cNvPicPr>
                  </pic:nvPicPr>
                  <pic:blipFill>
                    <a:blip r:embed="rId69"/>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10. Wenatchee River Final Fate Probabilities.</w:t>
      </w:r>
    </w:p>
    <w:p>
      <w:pPr>
        <w:pStyle w:val="CaptionedFigure"/>
      </w:pPr>
      <w:r>
        <w:drawing>
          <wp:inline>
            <wp:extent cx="6858000" cy="5486400"/>
            <wp:effectExtent b="0" l="0" r="0" t="0"/>
            <wp:docPr descr="Figure 11. Entiat River Final Fate Probabilities." title="" id="73" name="Picture"/>
            <a:graphic>
              <a:graphicData uri="http://schemas.openxmlformats.org/drawingml/2006/picture">
                <pic:pic>
                  <pic:nvPicPr>
                    <pic:cNvPr descr=".//figures/final_fates_plots/entiat_fates_plot.pdf" id="74" name="Picture"/>
                    <pic:cNvPicPr>
                      <a:picLocks noChangeArrowheads="1" noChangeAspect="1"/>
                    </pic:cNvPicPr>
                  </pic:nvPicPr>
                  <pic:blipFill>
                    <a:blip r:embed="rId72"/>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11. Entiat River Final Fate Probabilities.</w:t>
      </w:r>
    </w:p>
    <w:p>
      <w:pPr>
        <w:pStyle w:val="CaptionedFigure"/>
      </w:pPr>
      <w:r>
        <w:drawing>
          <wp:inline>
            <wp:extent cx="6858000" cy="5486400"/>
            <wp:effectExtent b="0" l="0" r="0" t="0"/>
            <wp:docPr descr="Figure 12. Methow River Final Fate Probabilities." title="" id="76" name="Picture"/>
            <a:graphic>
              <a:graphicData uri="http://schemas.openxmlformats.org/drawingml/2006/picture">
                <pic:pic>
                  <pic:nvPicPr>
                    <pic:cNvPr descr=".//figures/final_fates_plots/methow_fates_plot.pdf" id="77" name="Picture"/>
                    <pic:cNvPicPr>
                      <a:picLocks noChangeArrowheads="1" noChangeAspect="1"/>
                    </pic:cNvPicPr>
                  </pic:nvPicPr>
                  <pic:blipFill>
                    <a:blip r:embed="rId75"/>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12. Methow River Final Fate Probabilities.</w:t>
      </w:r>
    </w:p>
    <w:p>
      <w:pPr>
        <w:pStyle w:val="CaptionedFigure"/>
      </w:pPr>
      <w:r>
        <w:drawing>
          <wp:inline>
            <wp:extent cx="6858000" cy="5486400"/>
            <wp:effectExtent b="0" l="0" r="0" t="0"/>
            <wp:docPr descr="Figure 13. Okanogan River Final Fate Probabilities." title="" id="79" name="Picture"/>
            <a:graphic>
              <a:graphicData uri="http://schemas.openxmlformats.org/drawingml/2006/picture">
                <pic:pic>
                  <pic:nvPicPr>
                    <pic:cNvPr descr=".//figures/final_fates_plots/okanogan_fates_plot.pdf" id="80" name="Picture"/>
                    <pic:cNvPicPr>
                      <a:picLocks noChangeArrowheads="1" noChangeAspect="1"/>
                    </pic:cNvPicPr>
                  </pic:nvPicPr>
                  <pic:blipFill>
                    <a:blip r:embed="rId78"/>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13. Okanogan River Final Fate Probabilities.</w:t>
      </w:r>
    </w:p>
    <w:bookmarkEnd w:id="81"/>
    <w:bookmarkStart w:id="100" w:name="snake-river-basin-steelhead"/>
    <w:p>
      <w:pPr>
        <w:pStyle w:val="Heading3"/>
      </w:pPr>
      <w:r>
        <w:t xml:space="preserve">Snake River Basin Steelhead</w:t>
      </w:r>
    </w:p>
    <w:p>
      <w:pPr>
        <w:pStyle w:val="FirstParagraph"/>
      </w:pPr>
      <w:r>
        <w:t xml:space="preserve">Because three of the six Snake River tributaries could not be corrected for detection efficiency, homing probabilities for these three tributaries (the Clearwater River, Grande Ronde River, and Salmon River) are biased low. Fish from these three natal origins each had a median probability of last being seen upstream of Lower Granite Dam (the state which connects to these tributaries) of over 0.5; many of the fish which were last seen in this state likely reached natal tributaries but were not detected. The three tributaries for which detection efficiency could be estimated had varying homing rates: while the median probability of homing for Asotin Creek individuals was nearly 0.6, the median homing probability was lower for Imnaha River Steelhead at 0.44, and lowest for Tucannon River Steelhead at 0.33. Tucannon River Steelhead had high overshoot rates at Lower Granite Dam (Table 4), leading to a high probability of these fish last being seen upstream of Lower Granite Dam.</w:t>
      </w:r>
    </w:p>
    <w:p>
      <w:pPr>
        <w:pStyle w:val="BodyText"/>
      </w:pPr>
    </w:p>
    <w:p>
      <w:pPr>
        <w:pStyle w:val="CaptionedFigure"/>
      </w:pPr>
      <w:r>
        <w:drawing>
          <wp:inline>
            <wp:extent cx="6858000" cy="5486400"/>
            <wp:effectExtent b="0" l="0" r="0" t="0"/>
            <wp:docPr descr="Figure 14. Tucannon River Final Fate Probabilities." title="" id="83" name="Picture"/>
            <a:graphic>
              <a:graphicData uri="http://schemas.openxmlformats.org/drawingml/2006/picture">
                <pic:pic>
                  <pic:nvPicPr>
                    <pic:cNvPr descr=".//figures/final_fates_plots/tucannon_fates_plot.pdf" id="84" name="Picture"/>
                    <pic:cNvPicPr>
                      <a:picLocks noChangeArrowheads="1" noChangeAspect="1"/>
                    </pic:cNvPicPr>
                  </pic:nvPicPr>
                  <pic:blipFill>
                    <a:blip r:embed="rId82"/>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14. Tucannon River Final Fate Probabilities.</w:t>
      </w:r>
    </w:p>
    <w:p>
      <w:pPr>
        <w:pStyle w:val="CaptionedFigure"/>
      </w:pPr>
      <w:r>
        <w:drawing>
          <wp:inline>
            <wp:extent cx="6858000" cy="5486400"/>
            <wp:effectExtent b="0" l="0" r="0" t="0"/>
            <wp:docPr descr="Figure 15. Clearwater River Final Fate Probabilities." title="" id="86" name="Picture"/>
            <a:graphic>
              <a:graphicData uri="http://schemas.openxmlformats.org/drawingml/2006/picture">
                <pic:pic>
                  <pic:nvPicPr>
                    <pic:cNvPr descr=".//figures/final_fates_plots/clearwater_fates_plot.pdf" id="87" name="Picture"/>
                    <pic:cNvPicPr>
                      <a:picLocks noChangeArrowheads="1" noChangeAspect="1"/>
                    </pic:cNvPicPr>
                  </pic:nvPicPr>
                  <pic:blipFill>
                    <a:blip r:embed="rId85"/>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15. Clearwater River Final Fate Probabilities.</w:t>
      </w:r>
    </w:p>
    <w:p>
      <w:pPr>
        <w:pStyle w:val="CaptionedFigure"/>
      </w:pPr>
      <w:r>
        <w:drawing>
          <wp:inline>
            <wp:extent cx="6858000" cy="5486400"/>
            <wp:effectExtent b="0" l="0" r="0" t="0"/>
            <wp:docPr descr="Figure 16. Asotin Creek Final Fate Probabilities." title="" id="89" name="Picture"/>
            <a:graphic>
              <a:graphicData uri="http://schemas.openxmlformats.org/drawingml/2006/picture">
                <pic:pic>
                  <pic:nvPicPr>
                    <pic:cNvPr descr=".//figures/final_fates_plots/asotin_fates_plot.pdf" id="90" name="Picture"/>
                    <pic:cNvPicPr>
                      <a:picLocks noChangeArrowheads="1" noChangeAspect="1"/>
                    </pic:cNvPicPr>
                  </pic:nvPicPr>
                  <pic:blipFill>
                    <a:blip r:embed="rId88"/>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16. Asotin Creek Final Fate Probabilities.</w:t>
      </w:r>
    </w:p>
    <w:p>
      <w:pPr>
        <w:pStyle w:val="CaptionedFigure"/>
      </w:pPr>
      <w:r>
        <w:drawing>
          <wp:inline>
            <wp:extent cx="6858000" cy="5486400"/>
            <wp:effectExtent b="0" l="0" r="0" t="0"/>
            <wp:docPr descr="Figure 17. Grande Ronde River Final Fate Probabilities." title="" id="92" name="Picture"/>
            <a:graphic>
              <a:graphicData uri="http://schemas.openxmlformats.org/drawingml/2006/picture">
                <pic:pic>
                  <pic:nvPicPr>
                    <pic:cNvPr descr=".//figures/final_fates_plots/grande_ronde_fates_plot.pdf" id="93" name="Picture"/>
                    <pic:cNvPicPr>
                      <a:picLocks noChangeArrowheads="1" noChangeAspect="1"/>
                    </pic:cNvPicPr>
                  </pic:nvPicPr>
                  <pic:blipFill>
                    <a:blip r:embed="rId91"/>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17. Grande Ronde River Final Fate Probabilities.</w:t>
      </w:r>
    </w:p>
    <w:p>
      <w:pPr>
        <w:pStyle w:val="CaptionedFigure"/>
      </w:pPr>
      <w:r>
        <w:drawing>
          <wp:inline>
            <wp:extent cx="6858000" cy="5486400"/>
            <wp:effectExtent b="0" l="0" r="0" t="0"/>
            <wp:docPr descr="Figure 18. Salmon River Final Fate Probabilities." title="" id="95" name="Picture"/>
            <a:graphic>
              <a:graphicData uri="http://schemas.openxmlformats.org/drawingml/2006/picture">
                <pic:pic>
                  <pic:nvPicPr>
                    <pic:cNvPr descr=".//figures/final_fates_plots/salmon_fates_plot.pdf" id="96" name="Picture"/>
                    <pic:cNvPicPr>
                      <a:picLocks noChangeArrowheads="1" noChangeAspect="1"/>
                    </pic:cNvPicPr>
                  </pic:nvPicPr>
                  <pic:blipFill>
                    <a:blip r:embed="rId94"/>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18. Salmon River Final Fate Probabilities.</w:t>
      </w:r>
    </w:p>
    <w:p>
      <w:pPr>
        <w:pStyle w:val="CaptionedFigure"/>
      </w:pPr>
      <w:r>
        <w:drawing>
          <wp:inline>
            <wp:extent cx="6858000" cy="5486400"/>
            <wp:effectExtent b="0" l="0" r="0" t="0"/>
            <wp:docPr descr="Figure 19. Imnaha River Final Fate Probabilities." title="" id="98" name="Picture"/>
            <a:graphic>
              <a:graphicData uri="http://schemas.openxmlformats.org/drawingml/2006/picture">
                <pic:pic>
                  <pic:nvPicPr>
                    <pic:cNvPr descr=".//figures/final_fates_plots/imnaha_fates_plot.pdf" id="99" name="Picture"/>
                    <pic:cNvPicPr>
                      <a:picLocks noChangeArrowheads="1" noChangeAspect="1"/>
                    </pic:cNvPicPr>
                  </pic:nvPicPr>
                  <pic:blipFill>
                    <a:blip r:embed="rId97"/>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19. Imnaha River Final Fate Probabilities.</w:t>
      </w:r>
    </w:p>
    <w:bookmarkEnd w:id="100"/>
    <w:bookmarkEnd w:id="101"/>
    <w:bookmarkStart w:id="102" w:name="Xd4d1301bfe198c99ae7a0b18ce047f4cb77734c"/>
    <w:p>
      <w:pPr>
        <w:pStyle w:val="Heading2"/>
      </w:pPr>
      <w:r>
        <w:t xml:space="preserve">Homing probabilities, conditional on overshoot</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 comparison of probability of successfully homing, conditional on either (1) making it to the section of mainstem into which the home tributary flows (Non-overshoot), or (2) on overshooting the dam directly upstream of the home tributary (Overshoot).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77"/>
        <w:gridCol w:w="2618"/>
        <w:gridCol w:w="6225"/>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Non-overshoot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Overshoot</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(0.22 - 0.34)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(0.087 - 0.18)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(0.56 - 0.77)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(0.12 - 0.58)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(0.48 - 0.56)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(0.24 - 0.31)</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PRA: 0.29 (0.21 - 0.34) / ICH: 0.14 (0.11 - 0.15)</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PRA: 0.65 (0.55 - 0.73) / ICH: 0.57 (0.37 - 0.72)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(0.42 - 0.47)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0.78 (0.73 - 0.84)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(0.5 - 0.69)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(0.43 - 0.49)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(0.17 - 0.2)</w:t>
            </w:r>
          </w:p>
        </w:tc>
      </w:tr>
    </w:tbl>
    <w:p>
      <w:pPr>
        <w:pStyle w:val="BodyText"/>
      </w:pPr>
    </w:p>
    <w:p>
      <w:pPr>
        <w:pStyle w:val="BodyText"/>
      </w:pPr>
      <w:r>
        <w:t xml:space="preserve">Overshooting dams considerably reduced homing probability (Table 6). For some natal origins, this reduction was modest. For example, most Yakima River and Entiat River Steelhead that overshot still were most likely to make it home. For other natal origins, the effect of overshooting was dramatic: the probability of homing for Wenatchee River Steelhead that did not overshoot was four times that of individuals that did.</w:t>
      </w:r>
    </w:p>
    <w:bookmarkEnd w:id="102"/>
    <w:bookmarkStart w:id="103" w:name="fallback-probability-by-dam-and-origin"/>
    <w:p>
      <w:pPr>
        <w:pStyle w:val="Heading2"/>
      </w:pPr>
      <w:r>
        <w:t xml:space="preserve">Fallback probability by dam and origin</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Highlighted cells are probabilities of post-overshoot fallback, whereas non-highlighted cells are probabilities of en-route fallback.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65"/>
        <w:gridCol w:w="1356"/>
        <w:gridCol w:w="1298"/>
        <w:gridCol w:w="1385"/>
        <w:gridCol w:w="1356"/>
        <w:gridCol w:w="1413"/>
        <w:gridCol w:w="1183"/>
        <w:gridCol w:w="1183"/>
        <w:gridCol w:w="1183"/>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0.0052 (0.0022 - 0.0094)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(0.37 - 0.59)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0.54 (0.00000012 -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(0.07 - 0.59)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0.0083 (0.0051 - 0.013)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 (0.18 - 0.69)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0.56 (0.0000000043 -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 (0.0077 - 0.59)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 (0.005 - 0.0088)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0.51 (0.5 - 0.53)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0.52 (0.39 - 0.64)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0.27 (0.23 - 0.31)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(0.0049 - 0.011)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(0.45 - 0.5)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0.55 (0.38 - 0.73)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0.33 (0.27 - 0.38)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(0.011 - 0.018)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(0.039 - 0.05)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0.53 (0.43 - 0.61)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(0.24 - 0.27)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0.0061 (0.0025 - 0.013)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0.0099 (0.0044 - 0.018)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 (0.52 - 0.68)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0.56 (0.4 - 0.71)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(0.0077 - 0.012)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(0.011 - 0.018)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(0.0088 - 0.013)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(0.21 - 0.24)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 (0.18 - 0.21)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0.0073 (0.0035 - 0.013)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(0.0085 - 0.034)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(0.0032 - 0.022)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0.027 (0.016 - 0.039)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0.62 (0.56 - 0.67)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(0.0068 - 0.014)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(0.0096 - 0.023)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(0.0012 - 0.0087)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(0.00036 - 0.0057)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(0.0095 - 0.02)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0.0095 (0.0079 - 0.011)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(0.0095 - 0.014)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(0.0081 - 0.013)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(0.0047 - 0.0077)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(0.01 - 0.014)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0.083 (0.0019 - 0.27)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0.073 (0.067 - 0.079)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0.029 (0.025 - 0.034)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(0.047 - 0.071)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(0.022 - 0.049)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0.031 (0.028 - 0.034)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(0.0079 - 0.012)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(0.015 - 0.022)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(0.045 - 0.051)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(0.019 - 0.024)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(0.018 - 0.023)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0.029 (0.027 - 0.032)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0.046 (0.042 - 0.049)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(0.033 - 0.043)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r>
    </w:tbl>
    <w:p>
      <w:pPr>
        <w:pStyle w:val="BodyText"/>
      </w:pPr>
    </w:p>
    <w:p>
      <w:pPr>
        <w:pStyle w:val="BodyText"/>
      </w:pPr>
      <w:r>
        <w:t xml:space="preserve">Fallback probabilities for en-route fallback were generally considerably lower than post-overshoot fallback probabilities (Table 7). Median en-route fallback probabilities were mostly between 0.01 and 0.05; en-route fallback was most likely at McNary Dam.</w:t>
      </w:r>
    </w:p>
    <w:bookmarkEnd w:id="103"/>
    <w:bookmarkEnd w:id="104"/>
    <w:bookmarkStart w:id="109" w:name="discussion"/>
    <w:p>
      <w:pPr>
        <w:pStyle w:val="Heading1"/>
      </w:pPr>
      <w:r>
        <w:t xml:space="preserve">Discussion</w:t>
      </w:r>
    </w:p>
    <w:bookmarkStart w:id="108" w:name="current-limitations-and-next-steps"/>
    <w:p>
      <w:pPr>
        <w:pStyle w:val="Heading2"/>
      </w:pPr>
      <w:r>
        <w:t xml:space="preserve">Current limitations and next steps</w:t>
      </w:r>
    </w:p>
    <w:bookmarkStart w:id="105" w:name="Xb240896571b96c742535eb0d72a19c3f7262b9a"/>
    <w:p>
      <w:pPr>
        <w:pStyle w:val="Heading3"/>
      </w:pPr>
      <w:r>
        <w:t xml:space="preserve">Detection probabilities in downstream passage routes</w:t>
      </w:r>
    </w:p>
    <w:p>
      <w:pPr>
        <w:pStyle w:val="FirstParagraph"/>
      </w:pPr>
      <w:r>
        <w:t xml:space="preserve">Steelhead fallback is difficult to monitor using PIT tags because of the lack of detection capabilities in the primary downstream passage routes for Steelhead, which include spillways, the Juvenile Bypass System (JBS), navigation locks, ice/trash sluiceways, and turbines. While some passage routes, such as the JBS, the corner collector at Bonneville Dam, and as of 2020, the spillway at Lower Granite Dam, have PIT tag detection capability, the majority of downstream movements are only detected by examining the rest of the detection history. For example,</w:t>
      </w:r>
      <w:r>
        <w:t xml:space="preserve"> </w:t>
      </w:r>
      <w:r>
        <w:t xml:space="preserve">Boggs</w:t>
      </w:r>
      <w:r>
        <w:t xml:space="preserve"> </w:t>
      </w:r>
      <w:r>
        <w:rPr>
          <w:iCs/>
          <w:i/>
        </w:rPr>
        <w:t xml:space="preserve">et al.</w:t>
      </w:r>
      <w:r>
        <w:t xml:space="preserve"> </w:t>
      </w:r>
      <w:r>
        <w:t xml:space="preserve">(2004)</w:t>
      </w:r>
      <w:r>
        <w:t xml:space="preserve"> </w:t>
      </w:r>
      <w:r>
        <w:t xml:space="preserve">used consecutive detections in the same adult fish ladder to monitor rates of fallback, whereas</w:t>
      </w:r>
      <w:r>
        <w:t xml:space="preserve"> </w:t>
      </w:r>
      <w:r>
        <w:t xml:space="preserve">Richins and Skalski (2018)</w:t>
      </w:r>
      <w:r>
        <w:t xml:space="preserve"> </w:t>
      </w:r>
      <w:r>
        <w:t xml:space="preserve">calculated fallback to home following overshoot as detections in tributaries following detections in the adult fish ladder at a dam upstream of the tributary. Our modeling framework includes both of these ways of detecting fallback, but this is still an underestimate of total fallback. Fallback such as fallback that leads to mortality cannot be detected using PIT tags, and any time a fish is not seen after fallback (i.e., either due to a fish entering a tributary with PIT tag arrays but not being detected, entering a tributary without PIT tag arrays, spawning in the mainstem, or mortality following fallback), the fallback event will not be observed. As such, the current network of PIT tag arrays is incapable of monitoring all fallback and estimates of fallback from this model should be interpreted as lower bound estimates. However, the current modeling framework gives us the closest estimate of fallback possible using PIT tag data.</w:t>
      </w:r>
    </w:p>
    <w:bookmarkEnd w:id="105"/>
    <w:bookmarkStart w:id="106" w:name="adding-additional-covariates"/>
    <w:p>
      <w:pPr>
        <w:pStyle w:val="Heading3"/>
      </w:pPr>
      <w:r>
        <w:t xml:space="preserve">Adding additional covariates</w:t>
      </w:r>
    </w:p>
    <w:p>
      <w:pPr>
        <w:pStyle w:val="FirstParagraph"/>
      </w:pPr>
      <w:r>
        <w:t xml:space="preserve">The model structure and the use of the categorical logit to evaluate movement probabilities allows for the inclusion of both categorical and continuous covariates in the model. The next covariates that we plan to include in future iterations of the model are rear type (hatchery or wild), temperature (mainstem temperatures from dam tailraces), flow, and spill. We are also considering the addition of covariates related to juvenile experiences (barged vs. not barged, acclimated vs. not acclimated hatchery releases). The inclusion of these continuous covariates will further our understanding of what environmental conditions (e.g., temperature or flow conditions) lead to increased probability of Steelhead choosing more dangerous migration pathways to natal tributaries, such as overshooting natal tributaries. The inclusion of covariates that can be influenced by hydropower managers (e.g., spill or flow) or fishery managers (e.g., hatchery practices or assisted juvenile migration) would help inform how we can help Steelhead return safely to natal tributaries. Given the increased interest in assisting downstream Steelhead passage, such as via spill practices</w:t>
      </w:r>
      <w:r>
        <w:t xml:space="preserve"> </w:t>
      </w:r>
      <w:r>
        <w:t xml:space="preserve">(Ham</w:t>
      </w:r>
      <w:r>
        <w:t xml:space="preserve"> </w:t>
      </w:r>
      <w:r>
        <w:rPr>
          <w:iCs/>
          <w:i/>
        </w:rPr>
        <w:t xml:space="preserve">et al.</w:t>
      </w:r>
      <w:r>
        <w:t xml:space="preserve"> </w:t>
      </w:r>
      <w:r>
        <w:t xml:space="preserve">2021)</w:t>
      </w:r>
      <w:r>
        <w:t xml:space="preserve">, the inclusion of these covariates would improve our understanding of how to help recover these populations by informing management practices.</w:t>
      </w:r>
    </w:p>
    <w:bookmarkEnd w:id="106"/>
    <w:bookmarkStart w:id="107" w:name="increasing-model-state-complexity"/>
    <w:p>
      <w:pPr>
        <w:pStyle w:val="Heading3"/>
      </w:pPr>
      <w:r>
        <w:t xml:space="preserve">Increasing model state complexity</w:t>
      </w:r>
    </w:p>
    <w:p>
      <w:pPr>
        <w:pStyle w:val="FirstParagraph"/>
      </w:pPr>
      <w:r>
        <w:t xml:space="preserve">As mentioned previously, the current iteration of the model does not use The Dalles Dam or John Day Dam to separate states, and therefore the probability of fallback and overshoot rates at these dams is not being estimated. However, future model iterations could include these dams either by creating a new model that only uses years of data where these dams had PIT tag detectors in the adult fishways, or by modifying the existing model to turn on or off these states, depending on the run year (similar to the current approach with tributary detection efficiency). This would help achieve a better estimate of the true burden of overshoot and fallback throughout the Columbia River Basin, and would be of particular interest for tributaries close to these dams (e.g., Fifteenmile Creek, Deschutes River, and John Day River Steelhead).</w:t>
      </w:r>
    </w:p>
    <w:bookmarkEnd w:id="107"/>
    <w:bookmarkEnd w:id="108"/>
    <w:bookmarkEnd w:id="109"/>
    <w:bookmarkStart w:id="110" w:name="management-implications"/>
    <w:p>
      <w:pPr>
        <w:pStyle w:val="Heading1"/>
      </w:pPr>
      <w:r>
        <w:t xml:space="preserve">Management implications</w:t>
      </w:r>
    </w:p>
    <w:p>
      <w:pPr>
        <w:pStyle w:val="FirstParagraph"/>
      </w:pPr>
      <w:r>
        <w:t xml:space="preserve">The ability of this modeling framework to incorporate various covariates of interest will allow us to answer a number of pressing management questions surrounding Steelhead overshoot and fallback. For example, winter spill could be included, either as a continuous variable (e.g., amount of spill), a categorical variable (spill or no spill), or an ordinal variable (days of spill). This would allow us to determine what amount of spill is increasing the homing probability, either by decreasing rates of overshoot or increasing rates of post-overshoot fallback. Including flow and spill as covariates could also be used to shed light on if these are increasing en-route fallback or decreasing the probability of upstream movement.</w:t>
      </w:r>
    </w:p>
    <w:p>
      <w:pPr>
        <w:pStyle w:val="BodyText"/>
      </w:pPr>
    </w:p>
    <w:p>
      <w:pPr>
        <w:pStyle w:val="BodyText"/>
      </w:pPr>
      <w:r>
        <w:t xml:space="preserve">This model can also shed light on where new PIT tag antenna installations would be most beneficial, as well as assess how recent PIT tag antenna installations (i.e., in the Lower Granite Dam spillway) are helping with monitoring adult movement. Based on our analysis, tributary arrays in the mainstem Salmon, Clearwater, and Grande Ronde Rivers near the mouth would be very helpful, as this would allow us to estimate detection efficiency in these tributaries and therefore vastly improve our estimates of homing. Furthermore, repairing arrays that have recently been damaged and been decommissioned, most notably the Deschutes River Mouth Array, would also be very useful. The Deschutes River is of particular importance because our analysis indicates that fish of all origins have a relatively high probability of entering this tributary, likely due to its documented use as a cold water refuge</w:t>
      </w:r>
      <w:r>
        <w:t xml:space="preserve"> </w:t>
      </w:r>
      <w:r>
        <w:t xml:space="preserve">(Hess</w:t>
      </w:r>
      <w:r>
        <w:t xml:space="preserve"> </w:t>
      </w:r>
      <w:r>
        <w:rPr>
          <w:iCs/>
          <w:i/>
        </w:rPr>
        <w:t xml:space="preserve">et al.</w:t>
      </w:r>
      <w:r>
        <w:t xml:space="preserve"> </w:t>
      </w:r>
      <w:r>
        <w:t xml:space="preserve">2016; Snyder</w:t>
      </w:r>
      <w:r>
        <w:t xml:space="preserve"> </w:t>
      </w:r>
      <w:r>
        <w:rPr>
          <w:iCs/>
          <w:i/>
        </w:rPr>
        <w:t xml:space="preserve">et al.</w:t>
      </w:r>
      <w:r>
        <w:t xml:space="preserve"> </w:t>
      </w:r>
      <w:r>
        <w:t xml:space="preserve">2022)</w:t>
      </w:r>
      <w:r>
        <w:t xml:space="preserve">; the median probability for Upper Columbia Steelhead was 0.08, for Snake River Basin Steelhead 0.12, and for Middle Columbia Steelhead ranged from 0.13-0.51 (Appendix 2). Therefore, recommissioning this site would be highly beneficial for monitoring its continued use as a cold-water refuge for PIT-tagged Steelhead and other salmonids.</w:t>
      </w:r>
    </w:p>
    <w:p>
      <w:pPr>
        <w:pStyle w:val="BodyText"/>
      </w:pPr>
    </w:p>
    <w:p>
      <w:pPr>
        <w:pStyle w:val="BodyText"/>
      </w:pPr>
      <w:r>
        <w:t xml:space="preserve">This model could also easily handle other datasets of PIT tag detection histories, such as those from other salmonids in the basin.</w:t>
      </w:r>
    </w:p>
    <w:bookmarkEnd w:id="110"/>
    <w:bookmarkStart w:id="141" w:name="references"/>
    <w:p>
      <w:pPr>
        <w:pStyle w:val="Heading1"/>
      </w:pPr>
      <w:r>
        <w:t xml:space="preserve">References</w:t>
      </w:r>
    </w:p>
    <w:bookmarkStart w:id="140" w:name="refs"/>
    <w:bookmarkStart w:id="111"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111"/>
    <w:bookmarkStart w:id="113" w:name="ref-Boggs2004"/>
    <w:p>
      <w:pPr>
        <w:pStyle w:val="Bibliography"/>
      </w:pPr>
      <w:r>
        <w:t xml:space="preserve">Boggs CT, Keefer ML, Peery CA, Bjornn TC, Stuehrenberg LC (2004)</w:t>
      </w:r>
      <w:r>
        <w:t xml:space="preserve"> </w:t>
      </w:r>
      <w:hyperlink r:id="rId112">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113"/>
    <w:bookmarkStart w:id="114"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114"/>
    <w:bookmarkStart w:id="115"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115"/>
    <w:bookmarkStart w:id="116" w:name="ref-Ham2021"/>
    <w:p>
      <w:pPr>
        <w:pStyle w:val="Bibliography"/>
      </w:pPr>
      <w:r>
        <w:t xml:space="preserve">Ham KD, Titzler PS, Mueller RP, Harnish RA (2021)</w:t>
      </w:r>
      <w:r>
        <w:t xml:space="preserve"> </w:t>
      </w:r>
      <w:r>
        <w:rPr>
          <w:iCs/>
          <w:i/>
        </w:rPr>
        <w:t xml:space="preserve">Evaluation of a Surface Spill Operation to Return Adult Steelhead Overshoots Downstream of McNary Dam</w:t>
      </w:r>
      <w:r>
        <w:t xml:space="preserve">. Pacific Northwest National Lab.(PNNL), Richland, WA (United States).</w:t>
      </w:r>
    </w:p>
    <w:bookmarkEnd w:id="116"/>
    <w:bookmarkStart w:id="118" w:name="ref-Hess2016"/>
    <w:p>
      <w:pPr>
        <w:pStyle w:val="Bibliography"/>
      </w:pPr>
      <w:r>
        <w:t xml:space="preserve">Hess MA, Hess JE, Matala AP,</w:t>
      </w:r>
      <w:r>
        <w:t xml:space="preserve"> </w:t>
      </w:r>
      <w:r>
        <w:rPr>
          <w:iCs/>
          <w:i/>
        </w:rPr>
        <w:t xml:space="preserve">et al.</w:t>
      </w:r>
      <w:r>
        <w:t xml:space="preserve"> </w:t>
      </w:r>
      <w:r>
        <w:t xml:space="preserve">(2016)</w:t>
      </w:r>
      <w:r>
        <w:t xml:space="preserve"> </w:t>
      </w:r>
      <w:hyperlink r:id="rId117">
        <w:r>
          <w:rPr>
            <w:rStyle w:val="Hyperlink"/>
          </w:rPr>
          <w:t xml:space="preserve">Migrating adult steelhead utilize a thermal refuge during summer periods with high water temperatures</w:t>
        </w:r>
      </w:hyperlink>
      <w:r>
        <w:t xml:space="preserve">.</w:t>
      </w:r>
      <w:r>
        <w:t xml:space="preserve"> </w:t>
      </w:r>
      <w:r>
        <w:rPr>
          <w:iCs/>
          <w:i/>
        </w:rPr>
        <w:t xml:space="preserve">ICES Journal of Marine Science: Journal du Conseil</w:t>
      </w:r>
      <w:r>
        <w:t xml:space="preserve"> </w:t>
      </w:r>
      <w:r>
        <w:rPr>
          <w:bCs/>
          <w:b/>
        </w:rPr>
        <w:t xml:space="preserve">73</w:t>
      </w:r>
      <w:r>
        <w:t xml:space="preserve">:2616–2624.</w:t>
      </w:r>
    </w:p>
    <w:bookmarkEnd w:id="118"/>
    <w:bookmarkStart w:id="120" w:name="ref-High2006"/>
    <w:p>
      <w:pPr>
        <w:pStyle w:val="Bibliography"/>
      </w:pPr>
      <w:r>
        <w:t xml:space="preserve">High B, Peery CA, Bennett DH (2006)</w:t>
      </w:r>
      <w:r>
        <w:t xml:space="preserve"> </w:t>
      </w:r>
      <w:hyperlink r:id="rId119">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120"/>
    <w:bookmarkStart w:id="122" w:name="ref-Keefer2008"/>
    <w:p>
      <w:pPr>
        <w:pStyle w:val="Bibliography"/>
      </w:pPr>
      <w:r>
        <w:t xml:space="preserve">Keefer ML, Boggs CT, Peery CA, Caudill CC (2008)</w:t>
      </w:r>
      <w:r>
        <w:t xml:space="preserve"> </w:t>
      </w:r>
      <w:hyperlink r:id="rId121">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122"/>
    <w:bookmarkStart w:id="124"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123">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124"/>
    <w:bookmarkStart w:id="126" w:name="ref-Khan2013"/>
    <w:p>
      <w:pPr>
        <w:pStyle w:val="Bibliography"/>
      </w:pPr>
      <w:r>
        <w:t xml:space="preserve">Khan F, Royer IM, Johnson GE, Tackley SC (2013)</w:t>
      </w:r>
      <w:r>
        <w:t xml:space="preserve"> </w:t>
      </w:r>
      <w:hyperlink r:id="rId125">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126"/>
    <w:bookmarkStart w:id="127"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127"/>
    <w:bookmarkStart w:id="128" w:name="ref-NMFS2022c"/>
    <w:p>
      <w:pPr>
        <w:pStyle w:val="Bibliography"/>
      </w:pPr>
      <w:r>
        <w:t xml:space="preserve">NMFS (2022d)</w:t>
      </w:r>
      <w:r>
        <w:t xml:space="preserve"> </w:t>
      </w:r>
      <w:r>
        <w:t xml:space="preserve">2022 5-Year Review: Summary &amp; Evaluation of Upper Columbia River Steelhead</w:t>
      </w:r>
      <w:r>
        <w:t xml:space="preserve">.</w:t>
      </w:r>
    </w:p>
    <w:bookmarkEnd w:id="128"/>
    <w:bookmarkStart w:id="129" w:name="ref-NMFS2022b"/>
    <w:p>
      <w:pPr>
        <w:pStyle w:val="Bibliography"/>
      </w:pPr>
      <w:r>
        <w:t xml:space="preserve">NMFS (2022c)</w:t>
      </w:r>
      <w:r>
        <w:t xml:space="preserve"> </w:t>
      </w:r>
      <w:r>
        <w:t xml:space="preserve">2022 5-Year Review : Summary &amp; Evaluation of Snake River Basin Steelhead</w:t>
      </w:r>
      <w:r>
        <w:t xml:space="preserve">.</w:t>
      </w:r>
    </w:p>
    <w:bookmarkEnd w:id="129"/>
    <w:bookmarkStart w:id="130" w:name="ref-NMFS2022a"/>
    <w:p>
      <w:pPr>
        <w:pStyle w:val="Bibliography"/>
      </w:pPr>
      <w:r>
        <w:t xml:space="preserve">NMFS (2022b)</w:t>
      </w:r>
      <w:r>
        <w:t xml:space="preserve"> </w:t>
      </w:r>
      <w:r>
        <w:t xml:space="preserve">2022 5-Year Review : Summary &amp; Evaluation of Middle Columbia River Steelhead</w:t>
      </w:r>
      <w:r>
        <w:t xml:space="preserve">.</w:t>
      </w:r>
    </w:p>
    <w:bookmarkEnd w:id="130"/>
    <w:bookmarkStart w:id="131" w:name="ref-NMFS2022"/>
    <w:p>
      <w:pPr>
        <w:pStyle w:val="Bibliography"/>
      </w:pPr>
      <w:r>
        <w:t xml:space="preserve">NMFS (2022a)</w:t>
      </w:r>
      <w:r>
        <w:t xml:space="preserve"> </w:t>
      </w:r>
      <w:r>
        <w:t xml:space="preserve">2022 5-Year Review: Summary &amp; Evaluation of Lower columbia River Chinook Salmon, Columbia River chum Salmon, Lower Columbia River Coho, Lower Columbia River Steelhead</w:t>
      </w:r>
      <w:r>
        <w:t xml:space="preserve">.</w:t>
      </w:r>
    </w:p>
    <w:bookmarkEnd w:id="131"/>
    <w:bookmarkStart w:id="132" w:name="ref-Associates2014"/>
    <w:p>
      <w:pPr>
        <w:pStyle w:val="Bibliography"/>
      </w:pPr>
      <w:r>
        <w:t xml:space="preserve">Normandeau Associates (2014)</w:t>
      </w:r>
      <w:r>
        <w:t xml:space="preserve"> </w:t>
      </w:r>
      <w:r>
        <w:rPr>
          <w:iCs/>
          <w:i/>
        </w:rPr>
        <w:t xml:space="preserve">Direct Injury and Survival of Adult Steelhead Trout Passing a Turbine and Spillway Weir at McNary Dam</w:t>
      </w:r>
      <w:r>
        <w:t xml:space="preserve">.</w:t>
      </w:r>
    </w:p>
    <w:bookmarkEnd w:id="132"/>
    <w:bookmarkStart w:id="133"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133"/>
    <w:bookmarkStart w:id="135" w:name="ref-Richins2018"/>
    <w:p>
      <w:pPr>
        <w:pStyle w:val="Bibliography"/>
      </w:pPr>
      <w:r>
        <w:t xml:space="preserve">Richins SM, Skalski JR (2018)</w:t>
      </w:r>
      <w:r>
        <w:t xml:space="preserve"> </w:t>
      </w:r>
      <w:hyperlink r:id="rId134">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135"/>
    <w:bookmarkStart w:id="137" w:name="ref-Snyder2022"/>
    <w:p>
      <w:pPr>
        <w:pStyle w:val="Bibliography"/>
      </w:pPr>
      <w:r>
        <w:t xml:space="preserve">Snyder MN, Schumaker NH, Dunham JB,</w:t>
      </w:r>
      <w:r>
        <w:t xml:space="preserve"> </w:t>
      </w:r>
      <w:r>
        <w:rPr>
          <w:iCs/>
          <w:i/>
        </w:rPr>
        <w:t xml:space="preserve">et al.</w:t>
      </w:r>
      <w:r>
        <w:t xml:space="preserve"> </w:t>
      </w:r>
      <w:r>
        <w:t xml:space="preserve">(2022)</w:t>
      </w:r>
      <w:r>
        <w:t xml:space="preserve"> </w:t>
      </w:r>
      <w:hyperlink r:id="rId136">
        <w:r>
          <w:rPr>
            <w:rStyle w:val="Hyperlink"/>
          </w:rPr>
          <w:t xml:space="preserve">Tough places and safe spaces: Can refuges save salmon from a warming climate?</w:t>
        </w:r>
      </w:hyperlink>
      <w:r>
        <w:t xml:space="preserve"> </w:t>
      </w:r>
      <w:r>
        <w:rPr>
          <w:iCs/>
          <w:i/>
        </w:rPr>
        <w:t xml:space="preserve">Ecosphere</w:t>
      </w:r>
      <w:r>
        <w:t xml:space="preserve"> </w:t>
      </w:r>
      <w:r>
        <w:rPr>
          <w:bCs/>
          <w:b/>
        </w:rPr>
        <w:t xml:space="preserve">13</w:t>
      </w:r>
      <w:r>
        <w:t xml:space="preserve">:1–18.</w:t>
      </w:r>
    </w:p>
    <w:bookmarkEnd w:id="137"/>
    <w:bookmarkStart w:id="139" w:name="ref-Wertheimer2005"/>
    <w:p>
      <w:pPr>
        <w:pStyle w:val="Bibliography"/>
      </w:pPr>
      <w:r>
        <w:t xml:space="preserve">Wertheimer RH, Evans AF (2005)</w:t>
      </w:r>
      <w:r>
        <w:t xml:space="preserve"> </w:t>
      </w:r>
      <w:hyperlink r:id="rId138">
        <w:r>
          <w:rPr>
            <w:rStyle w:val="Hyperlink"/>
          </w:rPr>
          <w:t xml:space="preserve">Downstream Passage of Steelhead Kelts through Hydroelectric Dams on the Lower Snake and Columbia Rivers</w:t>
        </w:r>
      </w:hyperlink>
      <w:r>
        <w:t xml:space="preserve">.</w:t>
      </w:r>
      <w:r>
        <w:t xml:space="preserve"> </w:t>
      </w:r>
      <w:r>
        <w:rPr>
          <w:iCs/>
          <w:i/>
        </w:rPr>
        <w:t xml:space="preserve">Transactions of the American Fisheries Society</w:t>
      </w:r>
      <w:r>
        <w:t xml:space="preserve"> </w:t>
      </w:r>
      <w:r>
        <w:rPr>
          <w:bCs/>
          <w:b/>
        </w:rPr>
        <w:t xml:space="preserve">134</w:t>
      </w:r>
      <w:r>
        <w:t xml:space="preserve">:853–865.</w:t>
      </w:r>
    </w:p>
    <w:bookmarkEnd w:id="139"/>
    <w:bookmarkEnd w:id="140"/>
    <w:bookmarkEnd w:id="141"/>
    <w:bookmarkStart w:id="145" w:name="appendix-1-detection-probabilities"/>
    <w:p>
      <w:pPr>
        <w:pStyle w:val="Heading1"/>
      </w:pPr>
      <w:r>
        <w:t xml:space="preserve">Appendix 1: Detection probabilities</w:t>
      </w:r>
    </w:p>
    <w:p>
      <w:pPr>
        <w:pStyle w:val="CaptionedFigure"/>
      </w:pPr>
      <w:r>
        <w:drawing>
          <wp:inline>
            <wp:extent cx="6858000" cy="5143500"/>
            <wp:effectExtent b="0" l="0" r="0" t="0"/>
            <wp:docPr descr="Figure 20. Detection probability by tributary and timeframe." title="" id="143" name="Picture"/>
            <a:graphic>
              <a:graphicData uri="http://schemas.openxmlformats.org/drawingml/2006/picture">
                <pic:pic>
                  <pic:nvPicPr>
                    <pic:cNvPr descr=".//figures/DE_plots.pdf" id="144" name="Picture"/>
                    <pic:cNvPicPr>
                      <a:picLocks noChangeArrowheads="1" noChangeAspect="1"/>
                    </pic:cNvPicPr>
                  </pic:nvPicPr>
                  <pic:blipFill>
                    <a:blip r:embed="rId142"/>
                    <a:stretch>
                      <a:fillRect/>
                    </a:stretch>
                  </pic:blipFill>
                  <pic:spPr bwMode="auto">
                    <a:xfrm>
                      <a:off x="0" y="0"/>
                      <a:ext cx="6858000" cy="5143500"/>
                    </a:xfrm>
                    <a:prstGeom prst="rect">
                      <a:avLst/>
                    </a:prstGeom>
                    <a:noFill/>
                    <a:ln w="9525">
                      <a:noFill/>
                      <a:headEnd/>
                      <a:tailEnd/>
                    </a:ln>
                  </pic:spPr>
                </pic:pic>
              </a:graphicData>
            </a:graphic>
          </wp:inline>
        </w:drawing>
      </w:r>
    </w:p>
    <w:p>
      <w:pPr>
        <w:pStyle w:val="ImageCaption"/>
      </w:pPr>
      <w:r>
        <w:t xml:space="preserve">Figure 20. Detection probability by tributary and timeframe.</w:t>
      </w:r>
    </w:p>
    <w:bookmarkEnd w:id="145"/>
    <w:bookmarkStart w:id="149" w:name="X68ea038d0d47ea486745be8767a8648c3628be1"/>
    <w:p>
      <w:pPr>
        <w:pStyle w:val="Heading1"/>
      </w:pPr>
      <w:r>
        <w:t xml:space="preserve">Appendix 2: Individual movement probabilities</w:t>
      </w:r>
    </w:p>
    <w:bookmarkStart w:id="146" w:name="middle-columbia-river-steelhead-1"/>
    <w:p>
      <w:pPr>
        <w:pStyle w:val="Heading2"/>
      </w:pPr>
      <w:r>
        <w:t xml:space="preserve">Middle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Fifteenmile Creek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0.0065 (0.000000000011 - 0.042)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0.0052 (0.0022 - 0.0094)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0.041 (0.032 - 0.052)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0.0091 (0.0015 - 0.023)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0.00027 (0.00000000000014 - 0.0014)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(0.18 - 0.28)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(0.000082 - 0.005)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(0.0077 - 0.018)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(0.37 - 0.59)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(0.0000000000084 - 0.01)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(0.058 - 0.22)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0.0016 (0.0000000000047 - 0.0066)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(0.00094 - 0.13)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(0.26 - 0.49)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(0.000000014 - 0.83)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0.097 (0.0000000035 - 0.26)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(0.15 - 0.34)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(0.000000000011 -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0.00061 (0.00000000000000076 - 0.0025)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(0.18 - 0.36)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(0.64 - 0.82)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(0.000000000000098 - 0.065)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(0.00000000017 - 0.34)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(0.73 - 0.98)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0.071 (0.0000000001 - 0.42)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(0.00000000000092 -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(0.000048 -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Deschutes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(0.81 - 0.98)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(0.019 - 0.19)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0.0083 (0.0051 - 0.013)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(0.0017 - 0.0059)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(0.56 - 0.74)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0.0017 (0.00018 - 0.0053)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0.0065 (0.0015 - 0.014)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0.00005 (0.000000000000027 - 0.00028)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0.00013 (0.000000000002 - 0.00072)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0.00055 (0.000048 - 0.0016)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(0.24 - 0.41)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(0.18 - 0.69)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0.0073 (0.0000000000027 - 0.043)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(0.053 - 0.47)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0.0043 (0.000000000000011 - 0.029)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(0.00000000025 - 0.53)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(0.000012 - 0.56)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(0.0000003 - 0.82)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0.089 (0.000000075 - 0.24)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(0.0077 - 0.59)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(0.063 - 0.18)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(0.15 - 0.37)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(0.069 - 0.74)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(0.26 - 0.93)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(0.000000000000071 -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(0.00000033 -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0.00037 (0.00000000013 - 0.0019)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(0.00000000000014 - 0.34)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(0.000000000028 -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(0.00000019 -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(0.000000000016 - 0.47)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(0.0000000000038 -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John Day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(0.92 - 0.99)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0.036 (0.005 - 0.081)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 (0.005 - 0.0088)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(0.15 - 0.19)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(0.22 - 0.27)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(0.00028 - 0.0047)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0.000042 (0.000000000000064 - 0.00027)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0.025 (0.021 - 0.031)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(0.00041 - 0.0018)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(0.5 - 0.53)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(0.01 - 0.018)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(0.00029 - 0.0027)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0.0076 (0.0038 - 0.012)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(0.39 - 0.64)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(0.064 - 0.14)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(0.23 - 0.31)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(0.00000000028 - 0.22)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(0.00000000000031 -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(0.57 - 0.7)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(0.000069 - 0.0037)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0.067 (0.028 - 0.12)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(0.88 - 0.97)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(0.021 - 0.43)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(0.57 - 0.98)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(0.17 - 0.67)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(0.33 - 0.83)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(0.00000000000064 - 0.17)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Umatilla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(0.89 - 0.99)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0.0075 (0.0049 - 0.011)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(0.17 - 0.22)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0.000079 (0.0000000000022 - 0.00037)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0.0071 (0.0029 - 0.013)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0.000023 (0.000000000000016 - 0.00021)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(0.35 - 0.4)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0.0027 (0.0014 - 0.0045)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(0.45 - 0.5)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(0.014 - 0.03)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(0.000074 - 0.0042)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(0.0057 - 0.02)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(0.27 - 0.32)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(0.38 - 0.73)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0.093 (0.054 - 0.14)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(0.27 - 0.38)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(0.096 - 0.13)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(0.22 - 0.28)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0.0085 (0.000000000048 - 0.044)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(0.00000000000064 -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(0.0000065 -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(0.0000000000000071 - 0.17)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(0.83 -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0.0016 (0.000082 - 0.0044)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(0.41 - 0.94)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(0.06 - 0.59)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(0.26 - 0.82)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(0.00000000000072 - 0.29)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(0.71 -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Walla Walla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2"/>
        <w:gridCol w:w="3102"/>
        <w:gridCol w:w="5316"/>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(0.93 - 0.99)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(0.0055 - 0.072)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(0.011 - 0.018)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(0.69 - 0.73)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0.000026 (0.000000000000000000000016 - 0.00021)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0.000031 (0.000000000000000000000015 - 0.00014)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0.000022 (0.00000000000000000000000041 - 0.000068)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0.000024 (0.000000000000000000002 - 0.00011)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0.00028 (0.000016 - 0.00087)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(0.13 - 0.15)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0.045 (0.039 - 0.05)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(0.017 - 0.024)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0.00072 (0.00012 - 0.0019)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(0.29 - 0.38)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(0.000000023 - 0.067)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(0.43 - 0.61)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0.099 (0.066 - 0.14)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(0.25 - 0.29)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(0.00000000000000014 -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(0.00000000000000042 -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(0.0000000000000012 -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(0.73 - 0.87)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(0.13 - 0.27)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(0.0000000000000000036 -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(0.000000000000011 -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(0.00000000000000021 -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(0.67 -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0.039 (0 - 0.33)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(0.0061 - 0.019)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(0.046 - 0.94)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(0.061 - 0.95)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Yakima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93"/>
        <w:gridCol w:w="3493"/>
        <w:gridCol w:w="453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0.0047 (0.000000000037 - 0.022)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0.0061 (0.0025 - 0.013)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(0.65 - 0.72)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(0.15 - 0.23)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0.00014 (0.00000000000008 - 0.00056)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0.0002 (0.00000000000039 - 0.0014)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0.000087 (0.000000000000054 - 0.00054)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(0.000000000000067 - 0.0011)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(0.000093 - 0.0039)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(0.097 - 0.14)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0.0099 (0.0044 - 0.018)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0.035 (0.025 - 0.049)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(0.76 - 0.83)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0.00016 (0.000000000011 - 0.00083)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(0.000029 - 0.052)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 (0.52 - 0.68)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(0.057 - 0.12)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0.084 (0.022 - 0.17)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(0.089 - 0.24)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0.052 (0.000000012 - 0.28)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(0.00025 - 0.37)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(0.009 - 0.34)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(0.054 - 0.37)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0.0041 (0.00000000098 - 0.026)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(0.4 - 0.71)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(0.13 - 0.28)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(0.049 - 0.11)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(0.1 - 0.22)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(0.0051 - 0.027)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(0.012 - 0.025)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(0.00056 - 0.0054)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(0.0098 - 0.022)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0.0051 (0.0013 - 0.011)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(0.0000018 -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(0.0000000000025 -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(0.00000000000033 -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0.051 (0.0089 - 0.12)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(0.000000000004 -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(0.0000012 -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0.071 (0.0000000000037 - 0.51)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(0.49 -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(0.0000000067 -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0.0044 (0.00077 - 0.011)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(0.00000031 -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(0.00000011 -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(0.00000000029 - 0.61)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(0.000000026 -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 (0.079 - 0.14)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(0.0025 - 0.21)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(0.0000000086 - 0.071)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0.0058 (0.00000000062 - 0.039)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(0.0000000092 - 0.23)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(0.000000013 - 0.14)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w:t>
            </w:r>
          </w:p>
        </w:tc>
      </w:tr>
    </w:tbl>
    <w:p>
      <w:pPr>
        <w:pStyle w:val="BodyText"/>
      </w:pPr>
      <w:r>
        <w:t xml:space="preserve"> </w:t>
      </w:r>
      <w:r>
        <w:br/>
      </w:r>
    </w:p>
    <w:bookmarkEnd w:id="146"/>
    <w:bookmarkStart w:id="147" w:name="upper-columbia-river-steelhead-1"/>
    <w:p>
      <w:pPr>
        <w:pStyle w:val="Heading2"/>
      </w:pPr>
      <w:r>
        <w:t xml:space="preserve">Upper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Wenatchee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(0.0077 - 0.012)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0.00062 (0.00025 - 0.0011)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0.0000083 (0.000000000032 - 0.000038)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0.000065 (0.0000000000096 - 0.00022)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0.0091 (0.0073 - 0.011)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(0.011 - 0.018)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(0.03 - 0.039)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(0.0088 - 0.013)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(0.097 - 0.12)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(0.21 - 0.24)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(0.028 - 0.04)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0.00063 (0.00000000000033 - 0.0045)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(0.16 - 0.2)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(0.0013 - 0.0053)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(0.59 - 0.65)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0.049 (0.034 - 0.066)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(0.93 - 0.97)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(0.071 - 0.19)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(0.81 - 0.93)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(0.095 - 0.17)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(0.83 - 0.91)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(0.00000000068 - 0.28)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(0.72 -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Entiat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0.0073 (0.0035 - 0.013)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0.00046 (0.00017 - 0.00084)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0.0000059 (0.000000000014 - 0.000023)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0.000045 (0.0000000000057 - 0.00017)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0.0068 (0.0032 - 0.012)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(0.0085 - 0.034)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(0.0066 - 0.025)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(0.0032 - 0.022)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0.013 (0.0043 - 0.025)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0.00062 (0.000000086 - 0.0026)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0.027 (0.016 - 0.039)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(0.51 - 0.6)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0.063 (0.041 - 0.082)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(0.56 - 0.67)</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(0.00048 - 0.051)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(0.19 - 0.3)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0.0046 (0.0002 - 0.015)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(0.000000000013 - 0.1)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(0.017 - 0.045)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(0.58 - 0.82)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(0.18 - 0.42)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(0.47 -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(0.00000000016 - 0.53)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Methow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86"/>
        <w:gridCol w:w="3286"/>
        <w:gridCol w:w="494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0.0095 (0.0079 - 0.011)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0.00061 (0.00026 - 0.0011)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0.0000081 (0.00000000003 - 0.000038)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0.000063 (0.0000000000082 - 0.00022)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 (0.0076 - 0.011)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(0.0095 - 0.014)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(0.96 - 0.97)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(0.023 - 0.029)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(0.0081 - 0.013)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(0.94 - 0.95)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0.0069 (0.0041 - 0.01)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(0.03 - 0.039)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(0.0047 - 0.0077)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(0.92 - 0.94)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 (0.000000000000000000076 - 0.000085)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0.065 (0.059 - 0.07)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(0.01 - 0.014)</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0.072 (0.057 - 0.089)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(0.61 - 0.66)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0.00014 (0.000021 - 0.00036)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0.094 (0.0052 - 0.22)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(0.0000000000000033 -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0.0076 (0.0038 - 0.012)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(0.99 -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0.00043 (0.000000000000000018 - 0.0025)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Okanogan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30"/>
        <w:gridCol w:w="3530"/>
        <w:gridCol w:w="4460"/>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(0.0096 - 0.038)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0.011 (0.0098 - 0.012)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0.082 (0.07 - 0.092)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0.000068 (0.0000000000003 - 0.00046)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0.00044 (0.000047 - 0.001)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0.000027 (0.000000000026 - 0.00018)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0.000015 (0.0000000000031 - 0.000085)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0.000012 (0.0000000000068 - 0.000057)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(0.2 - 0.21)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(0.0068 - 0.014)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0.00066 (0.00023 - 0.0012)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0.0000097 (0.000000000032 - 0.00004)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0.000065 (0.000000000011 - 0.00026)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0.0098 (0.0064 - 0.014)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(0.0096 - 0.023)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(0.0079 - 0.021)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(0.0012 - 0.0087)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 (0.00054 - 0.0079)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(0.013 - 0.027)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(0.00036 - 0.0057)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0.00014 (0.00000000000033 - 0.00071)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(0.012 - 0.029)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0.015 (0.0095 - 0.02)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(0.71 - 0.8)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(0.045 - 0.072)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0.0015 (0.00026 - 0.0039)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(0.14 - 0.21)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(0.0019 - 0.27)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(0.000000000000075 - 0.018)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 (0.0000000021 - 0.027)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(0.00000000054 - 0.088)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(0.0045 - 0.3)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0.0093 (0.000000018 - 0.045)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0.0087 (0.0000000031 - 0.045)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0.0097 (0.00000000025 - 0.057)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(0.000000026 - 0.23)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(0.00000041 -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(0.00000025 -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(0.084 - 0.18)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(0.000000069 -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(0.00000053 -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(0.00000043 -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(0.0000000052 -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(0.00000096 -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(0.00000023 -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 (0.0000016 -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(0.0000000000013 - 0.14)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(0.000000002 -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(0.0000000038 -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(0.00094 - 0.059)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(0.94 -   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0.0049 (0.00081 - 0.011)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0.0096 (0.000000000000033 - 0.048)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(0.00000064 -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(0.000000076 -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(0.000000016 - 0.31)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(0.000000046 -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(0.0000002 -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(0.0000018 -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(0.00000032 -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(0.000003 -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(0.00000012 -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(0.000000073 -   1)</w:t>
            </w:r>
          </w:p>
        </w:tc>
      </w:tr>
    </w:tbl>
    <w:p>
      <w:pPr>
        <w:pStyle w:val="BodyText"/>
      </w:pPr>
      <w:r>
        <w:t xml:space="preserve"> </w:t>
      </w:r>
      <w:r>
        <w:t xml:space="preserve"> </w:t>
      </w:r>
    </w:p>
    <w:bookmarkEnd w:id="147"/>
    <w:bookmarkStart w:id="148" w:name="snake-river-basin-steelhead-1"/>
    <w:p>
      <w:pPr>
        <w:pStyle w:val="Heading2"/>
      </w:pPr>
      <w:r>
        <w:t xml:space="preserve">Snake River Basin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Tucannon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46"/>
        <w:gridCol w:w="3646"/>
        <w:gridCol w:w="4228"/>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0.073 (0.067 - 0.079)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(0.025 - 0.031)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(0.84 - 0.87)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0.0009 (0.00055 - 0.0013)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0.0055 (0.0022 - 0.016)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(0.026 - 0.043)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0.029 (0.025 - 0.034)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0.092 (0.082 - 0.1)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 (0.38 - 0.42)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(0.044 - 0.079)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(0.018 - 0.029)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0.0015 (0.0004 - 0.0031)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(0.0039 - 0.0092)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0.0033 (0.00095 - 0.0066)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(0.49 - 0.52)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0.028 (0.02 - 0.036)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 (0.00000000000032 - 0.01)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0.083 (0.032 - 0.16)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(0.84 - 0.97)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 (0.000000000000018 - 0.0098)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(0.000000000002 - 0.11)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(0.000000000044 - 0.089)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(0.91 -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Clearwater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56"/>
        <w:gridCol w:w="3456"/>
        <w:gridCol w:w="4607"/>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0.031 (0.028 - 0.034)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0.012 (0.011 - 0.013)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0.00038 (0.00024 - 0.00054)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(0.00094 - 0.0072)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0.016 (0.011 - 0.019)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(0.0079 - 0.012)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0.0022 (0.001 - 0.0037)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(0.029 - 0.038)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(0.015 - 0.022)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0.000045 (0.00000000000047 - 0.00021)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(0.29 - 0.32)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0.000013 (0.000000000000043 - 0.000073)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0.000014 (0.00000000000077 - 0.000084)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0.000018 (0.00000000000032 - 0.000094)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0.68 (0.67 - 0.69)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(0.011 - 0.39)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(0.61 - 0.99)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0.0032 (0.0014 - 0.0059)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(0.00000000005 -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(0.0000024 -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(0.00000000000000017 -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(0.000013 -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(0.0000000000029 -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(0.000009 -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(0.00000000071 -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(0.00000013 -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Asotin Creek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68"/>
        <w:gridCol w:w="3568"/>
        <w:gridCol w:w="4385"/>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0.059 (0.047 - 0.071)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0.022 (0.018 - 0.027)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(0.86 - 0.91)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0.00073 (0.00044 - 0.0011)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0.0044 (0.0017 - 0.015)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(0.021 - 0.038)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0.034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(0.88 - 0.93)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(0.0079 - 0.03)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0.043 (0.029 - 0.061)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0.033 (0.022 - 0.049)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(0.75 - 0.88)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0.00012 (0.00000000000011 - 0.00046)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0.000078 (0.0000000000002 - 0.0004)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(0.0065 - 0.023)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0.00012 (0.00000000000074 - 0.00045)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(0.083 - 0.19)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(0.06 - 0.54)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(0.46 - 0.94)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(0.000000000015 -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(0.00021 -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0.0045 (0.00025 - 0.015)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0.0023 (0.000000000000013 - 0.0089)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(0.99 -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(0.000000000013 -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(0.0000011 -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(0.0000000038 -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(0.00000034 -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Grande Ronde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49"/>
        <w:gridCol w:w="3949"/>
        <w:gridCol w:w="3622"/>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Salmon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56"/>
        <w:gridCol w:w="3456"/>
        <w:gridCol w:w="4607"/>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(0.045 - 0.051)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0.018 (0.017 - 0.02)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(0.9 - 0.91)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0.00059 (0.00037 - 0.00083)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0.0036 (0.0014 - 0.011)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0.025 (0.017 - 0.028)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0.021 (0.019 - 0.024)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0.0028 (0.0016 - 0.0042)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(0.034 - 0.04)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(0.018 - 0.023)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0.000026 (0.000000000055 - 0.00012)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0.0000099 (0.00000000000013 - 0.000056)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(0.27 - 0.29)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0.0000082 (0.0000000000021 - 0.000037)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0.00019 (0.000011 - 0.00053)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(0.17 - 0.52)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(0.48 - 0.83)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(0.0000000000018 -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(0.0000028 -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 (0.0000000003 -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 (0.0000023 -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(0.0000000000011 -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(0.0016 -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0.0012 (0.00031 - 0.0024)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(0.33 -   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(0.00000000058 - 0.67)</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Imnaha River Steelhead.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31"/>
        <w:gridCol w:w="3131"/>
        <w:gridCol w:w="5258"/>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(0.014 - 0.027)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(0.018 - 0.02)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0.0037 (0.0028 - 0.005)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0.0018 (0.0011 - 0.0027)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0.00018 (0.00006 - 0.00035)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0.0014 (0.001 - 0.0018)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 (0.00079 - 0.0014)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0.046 (0.042 - 0.049)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0.017 (0.016 - 0.019)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0.00056 (0.00036 - 0.00079)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0.0034 (0.0014 - 0.011)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0.023 (0.016 - 0.027)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0.057 (0.044 - 0.074)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0.014 (0.0024 - 0.034)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0.042 (0.025 - 0.064)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0.037 (0.005 - 0.11)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0.074 (0.000056 - 0.12)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(0.097 - 0.19)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0.0063 (0.00045 - 0.018)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0.038 (0.033 - 0.043)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0.0015 (0.00044 - 0.0033)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0.048 (0.043 - 0.055)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0.019 (0.016 - 0.022)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0.000028 (0.0000000000000000000009 - 0.0001)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0.0000044 (0.000000000000000000000027 - 0.000016)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0.000007 (0.0000000000000000000006 - 0.000053)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0.0000081 (0.0000000000000000000063 - 0.000039)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0.61 (0.59 - 0.63)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(0.36 - 0.39)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0.026 (0.0000000001 - 0.16)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(0.059 - 0.24)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(0.078 - 0.93)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(0.073 - 0.92)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(0.0000000055 - 0.22)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(0.00000001 - 0.42)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(0.19 - 0.74)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(0.26 - 0.81)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(0.00000000000000068 -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(0.0000000000000023 -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(0.00000000000000018 -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(0.00000000000000075 -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(0.000000000000000000021 -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(0.0000000000000000079 -   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(0 -   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0.00064 (0.000046 - 0.0018)</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1 (  1 -   1)</w:t>
            </w:r>
          </w:p>
        </w:tc>
      </w:tr>
    </w:tbl>
    <w:p>
      <w:pPr>
        <w:pStyle w:val="BodyText"/>
      </w:pPr>
      <w:r>
        <w:t xml:space="preserve"> </w:t>
      </w:r>
      <w:r>
        <w:t xml:space="preserve"> </w:t>
      </w:r>
    </w:p>
    <w:p>
      <w:pPr>
        <w:pStyle w:val="BodyText"/>
      </w:pPr>
    </w:p>
    <w:bookmarkEnd w:id="148"/>
    <w:bookmarkEnd w:id="149"/>
    <w:sectPr w:rsidR="00D66C39" w:rsidRPr="0058270B" w:rsidSect="00D66C39">
      <w:headerReference r:id="rId10" w:type="even"/>
      <w:headerReference r:id="rId9" w:type="default"/>
      <w:footerReference r:id="rId14" w:type="even"/>
      <w:headerReference r:id="rId12" w:type="first"/>
      <w:pgSz w:code="1" w:h="15840" w:w="12240"/>
      <w:pgMar w:bottom="720" w:footer="720" w:gutter="0" w:header="720" w:left="720" w:right="720" w:top="72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377170"/>
      <w:docPartObj>
        <w:docPartGallery w:val="Page Numbers (Top of Page)"/>
        <w:docPartUnique/>
      </w:docPartObj>
    </w:sdtPr>
    <w:sdtEndPr>
      <w:rPr>
        <w:color w:val="7F7F7F" w:themeColor="background1" w:themeShade="7F"/>
        <w:spacing w:val="60"/>
      </w:rPr>
    </w:sdtEndPr>
    <w:sdtContent>
      <w:p w14:paraId="5C448C92" w14:textId="5A1DD6A0" w:rsidR="00795241" w:rsidRDefault="0079524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F2E0B">
          <w:rPr>
            <w:b/>
            <w:bCs/>
            <w:noProof/>
          </w:rPr>
          <w:t>4</w:t>
        </w:r>
        <w:r>
          <w:rPr>
            <w:b/>
            <w:bCs/>
            <w:noProof/>
          </w:rPr>
          <w:fldChar w:fldCharType="end"/>
        </w: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7C4B6E49" w:rsidR="00795241" w:rsidRDefault="0079524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3F2E0B">
          <w:rPr>
            <w:b/>
            <w:bCs/>
            <w:noProof/>
          </w:rPr>
          <w:t>3</w:t>
        </w:r>
        <w:r>
          <w:rPr>
            <w:b/>
            <w:bCs/>
            <w:noProof/>
          </w:rPr>
          <w:fldChar w:fldCharType="end"/>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 Target="media/rId22.pdf" /><Relationship Type="http://schemas.openxmlformats.org/officeDocument/2006/relationships/image" Id="rId142" Target="media/rId142.pdf" /><Relationship Type="http://schemas.openxmlformats.org/officeDocument/2006/relationships/image" Id="rId88" Target="media/rId88.pdf" /><Relationship Type="http://schemas.openxmlformats.org/officeDocument/2006/relationships/image" Id="rId85" Target="media/rId85.pdf" /><Relationship Type="http://schemas.openxmlformats.org/officeDocument/2006/relationships/image" Id="rId53" Target="media/rId53.pdf" /><Relationship Type="http://schemas.openxmlformats.org/officeDocument/2006/relationships/image" Id="rId72" Target="media/rId72.pdf" /><Relationship Type="http://schemas.openxmlformats.org/officeDocument/2006/relationships/image" Id="rId50" Target="media/rId50.pdf" /><Relationship Type="http://schemas.openxmlformats.org/officeDocument/2006/relationships/image" Id="rId91" Target="media/rId91.pdf" /><Relationship Type="http://schemas.openxmlformats.org/officeDocument/2006/relationships/image" Id="rId97" Target="media/rId97.pdf" /><Relationship Type="http://schemas.openxmlformats.org/officeDocument/2006/relationships/image" Id="rId56" Target="media/rId56.pdf" /><Relationship Type="http://schemas.openxmlformats.org/officeDocument/2006/relationships/image" Id="rId75" Target="media/rId75.pdf" /><Relationship Type="http://schemas.openxmlformats.org/officeDocument/2006/relationships/image" Id="rId78" Target="media/rId78.pdf" /><Relationship Type="http://schemas.openxmlformats.org/officeDocument/2006/relationships/image" Id="rId94" Target="media/rId94.pdf" /><Relationship Type="http://schemas.openxmlformats.org/officeDocument/2006/relationships/image" Id="rId82" Target="media/rId82.pdf" /><Relationship Type="http://schemas.openxmlformats.org/officeDocument/2006/relationships/image" Id="rId59" Target="media/rId59.pdf" /><Relationship Type="http://schemas.openxmlformats.org/officeDocument/2006/relationships/image" Id="rId62" Target="media/rId62.pdf" /><Relationship Type="http://schemas.openxmlformats.org/officeDocument/2006/relationships/image" Id="rId69" Target="media/rId69.pdf" /><Relationship Type="http://schemas.openxmlformats.org/officeDocument/2006/relationships/image" Id="rId65" Target="media/rId65.pdf" /><Relationship Type="http://schemas.openxmlformats.org/officeDocument/2006/relationships/image" Id="rId30" Target="media/rId30.jpg" /><Relationship Type="http://schemas.openxmlformats.org/officeDocument/2006/relationships/image" Id="rId34" Target="media/rId34.png" /><Relationship Type="http://schemas.openxmlformats.org/officeDocument/2006/relationships/hyperlink" Id="rId33" Target="https://dashboard.waterdata.usgs.gov/app/nwd/lang-en/?aoi=default" TargetMode="External" /><Relationship Type="http://schemas.openxmlformats.org/officeDocument/2006/relationships/hyperlink" Id="rId136" Target="https://doi.org/10.1002/ecs2.4265" TargetMode="External" /><Relationship Type="http://schemas.openxmlformats.org/officeDocument/2006/relationships/hyperlink" Id="rId134" Target="https://doi.org/10.1002/nafm.10219" TargetMode="External" /><Relationship Type="http://schemas.openxmlformats.org/officeDocument/2006/relationships/hyperlink" Id="rId125" Target="https://doi.org/10.1080/02755947.2013.793629" TargetMode="External" /><Relationship Type="http://schemas.openxmlformats.org/officeDocument/2006/relationships/hyperlink" Id="rId117" Target="https://doi.org/10.1093/icesjms/fsw120" TargetMode="External" /><Relationship Type="http://schemas.openxmlformats.org/officeDocument/2006/relationships/hyperlink" Id="rId123" Target="https://doi.org/10.1139/f04-246" TargetMode="External" /><Relationship Type="http://schemas.openxmlformats.org/officeDocument/2006/relationships/hyperlink" Id="rId121" Target="https://doi.org/10.1577/m07-011.1" TargetMode="External" /><Relationship Type="http://schemas.openxmlformats.org/officeDocument/2006/relationships/hyperlink" Id="rId112" Target="https://doi.org/10.1577/t03-133.1" TargetMode="External" /><Relationship Type="http://schemas.openxmlformats.org/officeDocument/2006/relationships/hyperlink" Id="rId138" Target="https://doi.org/10.1577/t04-219.1" TargetMode="External" /><Relationship Type="http://schemas.openxmlformats.org/officeDocument/2006/relationships/hyperlink" Id="rId119" Target="https://doi.org/10.1577/t04-224.1" TargetMode="External" /><Relationship Type="http://schemas.openxmlformats.org/officeDocument/2006/relationships/hyperlink" Id="rId38" Target="https://github.com/markusmin/steelhead"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3" Target="https://dashboard.waterdata.usgs.gov/app/nwd/lang-en/?aoi=default" TargetMode="External" /><Relationship Type="http://schemas.openxmlformats.org/officeDocument/2006/relationships/hyperlink" Id="rId136" Target="https://doi.org/10.1002/ecs2.4265" TargetMode="External" /><Relationship Type="http://schemas.openxmlformats.org/officeDocument/2006/relationships/hyperlink" Id="rId134" Target="https://doi.org/10.1002/nafm.10219" TargetMode="External" /><Relationship Type="http://schemas.openxmlformats.org/officeDocument/2006/relationships/hyperlink" Id="rId125" Target="https://doi.org/10.1080/02755947.2013.793629" TargetMode="External" /><Relationship Type="http://schemas.openxmlformats.org/officeDocument/2006/relationships/hyperlink" Id="rId117" Target="https://doi.org/10.1093/icesjms/fsw120" TargetMode="External" /><Relationship Type="http://schemas.openxmlformats.org/officeDocument/2006/relationships/hyperlink" Id="rId123" Target="https://doi.org/10.1139/f04-246" TargetMode="External" /><Relationship Type="http://schemas.openxmlformats.org/officeDocument/2006/relationships/hyperlink" Id="rId121" Target="https://doi.org/10.1577/m07-011.1" TargetMode="External" /><Relationship Type="http://schemas.openxmlformats.org/officeDocument/2006/relationships/hyperlink" Id="rId112" Target="https://doi.org/10.1577/t03-133.1" TargetMode="External" /><Relationship Type="http://schemas.openxmlformats.org/officeDocument/2006/relationships/hyperlink" Id="rId138" Target="https://doi.org/10.1577/t04-219.1" TargetMode="External" /><Relationship Type="http://schemas.openxmlformats.org/officeDocument/2006/relationships/hyperlink" Id="rId119" Target="https://doi.org/10.1577/t04-224.1" TargetMode="External" /><Relationship Type="http://schemas.openxmlformats.org/officeDocument/2006/relationships/hyperlink" Id="rId38" Target="https://github.com/markusmin/steelhead"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dcterms:created xsi:type="dcterms:W3CDTF">2022-12-10T00:31:19Z</dcterms:created>
  <dcterms:modified xsi:type="dcterms:W3CDTF">2022-12-10T00:31:19Z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09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